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01" w:rsidRDefault="00A84501" w:rsidP="00A84501">
      <w:pPr>
        <w:pStyle w:val="Header"/>
        <w:tabs>
          <w:tab w:val="clear" w:pos="9026"/>
          <w:tab w:val="right" w:pos="8505"/>
        </w:tabs>
        <w:ind w:right="2789"/>
        <w:rPr>
          <w:sz w:val="52"/>
          <w:szCs w:val="52"/>
        </w:rPr>
      </w:pPr>
      <w:bookmarkStart w:id="0" w:name="_GoBack"/>
      <w:bookmarkEnd w:id="0"/>
    </w:p>
    <w:p w:rsidR="00A84501" w:rsidRDefault="00A84501" w:rsidP="00A84501">
      <w:pPr>
        <w:pStyle w:val="Header"/>
        <w:tabs>
          <w:tab w:val="clear" w:pos="9026"/>
          <w:tab w:val="right" w:pos="8505"/>
        </w:tabs>
        <w:ind w:right="2789"/>
        <w:rPr>
          <w:sz w:val="52"/>
          <w:szCs w:val="52"/>
        </w:rPr>
      </w:pPr>
    </w:p>
    <w:p w:rsidR="00A84501" w:rsidRDefault="00A84501" w:rsidP="00A84501">
      <w:pPr>
        <w:pStyle w:val="Header"/>
        <w:tabs>
          <w:tab w:val="clear" w:pos="9026"/>
          <w:tab w:val="right" w:pos="8505"/>
        </w:tabs>
        <w:ind w:right="2789"/>
        <w:rPr>
          <w:sz w:val="52"/>
          <w:szCs w:val="52"/>
        </w:rPr>
      </w:pPr>
    </w:p>
    <w:p w:rsidR="00A84501" w:rsidRDefault="00A84501" w:rsidP="00A84501">
      <w:pPr>
        <w:pStyle w:val="Header"/>
        <w:tabs>
          <w:tab w:val="clear" w:pos="9026"/>
          <w:tab w:val="right" w:pos="8505"/>
        </w:tabs>
        <w:ind w:right="2789"/>
        <w:rPr>
          <w:sz w:val="52"/>
          <w:szCs w:val="52"/>
        </w:rPr>
      </w:pPr>
    </w:p>
    <w:p w:rsidR="00A84501" w:rsidRDefault="00A84501" w:rsidP="00A84501">
      <w:pPr>
        <w:pStyle w:val="Header"/>
        <w:tabs>
          <w:tab w:val="clear" w:pos="9026"/>
          <w:tab w:val="right" w:pos="8505"/>
        </w:tabs>
        <w:ind w:right="2789"/>
        <w:rPr>
          <w:sz w:val="52"/>
          <w:szCs w:val="52"/>
        </w:rPr>
      </w:pPr>
    </w:p>
    <w:p w:rsidR="00A84501" w:rsidRDefault="00A84501" w:rsidP="00A84501">
      <w:pPr>
        <w:pStyle w:val="Header"/>
        <w:tabs>
          <w:tab w:val="clear" w:pos="9026"/>
          <w:tab w:val="right" w:pos="8505"/>
        </w:tabs>
        <w:ind w:right="2789"/>
        <w:rPr>
          <w:sz w:val="52"/>
          <w:szCs w:val="52"/>
        </w:rPr>
      </w:pPr>
    </w:p>
    <w:p w:rsidR="00B10CFE" w:rsidRPr="00091987" w:rsidRDefault="005709D5" w:rsidP="00A84501">
      <w:pPr>
        <w:pStyle w:val="Header"/>
        <w:pBdr>
          <w:top w:val="single" w:sz="4" w:space="1" w:color="auto"/>
          <w:bottom w:val="single" w:sz="4" w:space="10" w:color="auto"/>
        </w:pBdr>
        <w:tabs>
          <w:tab w:val="clear" w:pos="9026"/>
          <w:tab w:val="right" w:pos="8931"/>
        </w:tabs>
        <w:ind w:right="1133"/>
        <w:rPr>
          <w:b/>
          <w:sz w:val="44"/>
          <w:szCs w:val="44"/>
        </w:rPr>
      </w:pPr>
      <w:r w:rsidRPr="00091987">
        <w:rPr>
          <w:b/>
          <w:noProof/>
          <w:sz w:val="44"/>
          <w:szCs w:val="44"/>
          <w:lang w:eastAsia="en-AU"/>
        </w:rPr>
        <w:drawing>
          <wp:anchor distT="0" distB="0" distL="114300" distR="114300" simplePos="0" relativeHeight="251658240" behindDoc="1" locked="0" layoutInCell="1" allowOverlap="1" wp14:anchorId="33E313AA" wp14:editId="297627F1">
            <wp:simplePos x="0" y="0"/>
            <wp:positionH relativeFrom="column">
              <wp:posOffset>4697730</wp:posOffset>
            </wp:positionH>
            <wp:positionV relativeFrom="margin">
              <wp:posOffset>-638175</wp:posOffset>
            </wp:positionV>
            <wp:extent cx="1862995" cy="2552700"/>
            <wp:effectExtent l="0" t="0" r="4445" b="0"/>
            <wp:wrapNone/>
            <wp:docPr id="2" name="Picture 2" descr="W:\mprd\mprd-marketing\Marketing\Brand\Logo Files\CDU Wedge\PNG\Right Side\CDU Wedge_Shadow_Right Side_30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rd\mprd-marketing\Marketing\Brand\Logo Files\CDU Wedge\PNG\Right Side\CDU Wedge_Shadow_Right Side_300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299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987" w:rsidRPr="00091987">
        <w:rPr>
          <w:b/>
          <w:sz w:val="44"/>
          <w:szCs w:val="44"/>
        </w:rPr>
        <w:t>Online Activity as Treatment Effect: from Correlation to Causal Inference</w:t>
      </w:r>
      <w:r w:rsidR="007E6FDA" w:rsidRPr="00091987">
        <w:rPr>
          <w:b/>
          <w:sz w:val="44"/>
          <w:szCs w:val="44"/>
        </w:rPr>
        <w:t xml:space="preserve"> </w:t>
      </w:r>
    </w:p>
    <w:p w:rsidR="00A84501" w:rsidRPr="00A84501" w:rsidRDefault="00A84501" w:rsidP="00A84501">
      <w:pPr>
        <w:pStyle w:val="Header"/>
        <w:pBdr>
          <w:bottom w:val="single" w:sz="4" w:space="10" w:color="auto"/>
        </w:pBdr>
        <w:tabs>
          <w:tab w:val="clear" w:pos="9026"/>
          <w:tab w:val="right" w:pos="8931"/>
        </w:tabs>
        <w:ind w:right="1133"/>
        <w:rPr>
          <w:sz w:val="52"/>
          <w:szCs w:val="52"/>
        </w:rPr>
        <w:sectPr w:rsidR="00A84501" w:rsidRPr="00A84501" w:rsidSect="008468C2">
          <w:headerReference w:type="default" r:id="rId10"/>
          <w:pgSz w:w="11906" w:h="16838"/>
          <w:pgMar w:top="284" w:right="849" w:bottom="1440" w:left="993" w:header="708" w:footer="708" w:gutter="0"/>
          <w:cols w:space="708"/>
          <w:docGrid w:linePitch="360"/>
        </w:sectPr>
      </w:pPr>
    </w:p>
    <w:p w:rsidR="00091987" w:rsidRPr="00091987" w:rsidRDefault="00091987" w:rsidP="00DA647F">
      <w:pPr>
        <w:spacing w:before="120" w:after="240"/>
        <w:rPr>
          <w:b/>
          <w:sz w:val="36"/>
          <w:szCs w:val="36"/>
        </w:rPr>
      </w:pPr>
      <w:r w:rsidRPr="00091987">
        <w:rPr>
          <w:b/>
          <w:sz w:val="36"/>
          <w:szCs w:val="36"/>
        </w:rPr>
        <w:lastRenderedPageBreak/>
        <w:t>Working Paper</w:t>
      </w:r>
    </w:p>
    <w:p w:rsidR="00A84501" w:rsidRPr="00091987" w:rsidRDefault="00091987" w:rsidP="00DA647F">
      <w:pPr>
        <w:spacing w:before="120" w:after="240"/>
        <w:rPr>
          <w:b/>
          <w:sz w:val="32"/>
          <w:szCs w:val="32"/>
        </w:rPr>
      </w:pPr>
      <w:r w:rsidRPr="00091987">
        <w:rPr>
          <w:b/>
          <w:sz w:val="32"/>
          <w:szCs w:val="32"/>
        </w:rPr>
        <w:t>May 2018</w:t>
      </w:r>
    </w:p>
    <w:p w:rsidR="00A84501" w:rsidRPr="00A84501" w:rsidRDefault="00A84501" w:rsidP="00A84501">
      <w:pPr>
        <w:pStyle w:val="Header"/>
        <w:pBdr>
          <w:bottom w:val="single" w:sz="4" w:space="10" w:color="auto"/>
        </w:pBdr>
        <w:tabs>
          <w:tab w:val="clear" w:pos="9026"/>
          <w:tab w:val="right" w:pos="8505"/>
        </w:tabs>
        <w:ind w:right="2789"/>
        <w:rPr>
          <w:sz w:val="52"/>
          <w:szCs w:val="52"/>
        </w:rPr>
        <w:sectPr w:rsidR="00A84501" w:rsidRPr="00A84501" w:rsidSect="00A84501">
          <w:headerReference w:type="default" r:id="rId11"/>
          <w:type w:val="continuous"/>
          <w:pgSz w:w="11906" w:h="16838"/>
          <w:pgMar w:top="284" w:right="849" w:bottom="1440" w:left="993" w:header="708" w:footer="708" w:gutter="0"/>
          <w:cols w:space="708"/>
          <w:docGrid w:linePitch="360"/>
        </w:sectPr>
      </w:pPr>
      <w:r>
        <w:rPr>
          <w:noProof/>
          <w:lang w:eastAsia="en-AU"/>
        </w:rPr>
        <w:drawing>
          <wp:anchor distT="0" distB="0" distL="114300" distR="114300" simplePos="0" relativeHeight="251660288" behindDoc="1" locked="0" layoutInCell="1" allowOverlap="1" wp14:anchorId="4A75DF9D" wp14:editId="271076AF">
            <wp:simplePos x="0" y="0"/>
            <wp:positionH relativeFrom="column">
              <wp:posOffset>4697730</wp:posOffset>
            </wp:positionH>
            <wp:positionV relativeFrom="margin">
              <wp:posOffset>-638175</wp:posOffset>
            </wp:positionV>
            <wp:extent cx="1862995" cy="2552700"/>
            <wp:effectExtent l="0" t="0" r="4445" b="0"/>
            <wp:wrapNone/>
            <wp:docPr id="1" name="Picture 1" descr="W:\mprd\mprd-marketing\Marketing\Brand\Logo Files\CDU Wedge\PNG\Right Side\CDU Wedge_Shadow_Right Side_30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rd\mprd-marketing\Marketing\Brand\Logo Files\CDU Wedge\PNG\Right Side\CDU Wedge_Shadow_Right Side_300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299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501" w:rsidRDefault="00091987" w:rsidP="00DA647F">
      <w:pPr>
        <w:spacing w:after="120"/>
        <w:rPr>
          <w:rFonts w:eastAsiaTheme="majorEastAsia" w:cstheme="majorBidi"/>
          <w:b/>
          <w:sz w:val="28"/>
          <w:szCs w:val="32"/>
        </w:rPr>
      </w:pPr>
      <w:r>
        <w:rPr>
          <w:rFonts w:eastAsiaTheme="majorEastAsia" w:cstheme="majorBidi"/>
          <w:b/>
          <w:sz w:val="28"/>
          <w:szCs w:val="32"/>
        </w:rPr>
        <w:lastRenderedPageBreak/>
        <w:t>Dr W.B.</w:t>
      </w:r>
      <w:r w:rsidR="00A84501" w:rsidRPr="00A84501">
        <w:rPr>
          <w:rFonts w:eastAsiaTheme="majorEastAsia" w:cstheme="majorBidi"/>
          <w:b/>
          <w:sz w:val="28"/>
          <w:szCs w:val="32"/>
        </w:rPr>
        <w:t xml:space="preserve"> Tyler, C</w:t>
      </w:r>
      <w:r>
        <w:rPr>
          <w:rFonts w:eastAsiaTheme="majorEastAsia" w:cstheme="majorBidi"/>
          <w:b/>
          <w:sz w:val="28"/>
          <w:szCs w:val="32"/>
        </w:rPr>
        <w:t>onsultant to the Delivering Success Project</w:t>
      </w:r>
    </w:p>
    <w:p w:rsidR="00A84501" w:rsidRPr="00A84501" w:rsidRDefault="00A84501" w:rsidP="00A84501">
      <w:pPr>
        <w:spacing w:after="120"/>
        <w:jc w:val="center"/>
        <w:rPr>
          <w:rFonts w:eastAsiaTheme="majorEastAsia" w:cstheme="majorBidi"/>
          <w:b/>
          <w:sz w:val="28"/>
          <w:szCs w:val="32"/>
        </w:rPr>
      </w:pPr>
    </w:p>
    <w:p w:rsidR="00A84501" w:rsidRDefault="00A84501">
      <w:pPr>
        <w:rPr>
          <w:rFonts w:eastAsiaTheme="majorEastAsia" w:cstheme="majorBidi"/>
          <w:b/>
          <w:sz w:val="28"/>
          <w:szCs w:val="32"/>
        </w:rPr>
        <w:sectPr w:rsidR="00A84501" w:rsidSect="00B10CFE">
          <w:type w:val="continuous"/>
          <w:pgSz w:w="11906" w:h="16838"/>
          <w:pgMar w:top="426" w:right="849" w:bottom="1440" w:left="993" w:header="708" w:footer="708" w:gutter="0"/>
          <w:cols w:space="708"/>
          <w:docGrid w:linePitch="360"/>
        </w:sectPr>
      </w:pPr>
    </w:p>
    <w:p w:rsidR="006122FF" w:rsidRDefault="006122FF">
      <w:pPr>
        <w:rPr>
          <w:rFonts w:eastAsiaTheme="majorEastAsia" w:cstheme="majorBidi"/>
          <w:b/>
          <w:sz w:val="28"/>
          <w:szCs w:val="32"/>
        </w:rPr>
      </w:pPr>
      <w:r>
        <w:rPr>
          <w:rFonts w:eastAsiaTheme="majorEastAsia" w:cstheme="majorBidi"/>
          <w:b/>
          <w:sz w:val="28"/>
          <w:szCs w:val="32"/>
        </w:rPr>
        <w:lastRenderedPageBreak/>
        <w:t>TABLE OF CONTENTS</w:t>
      </w:r>
    </w:p>
    <w:p w:rsidR="00FF5B70" w:rsidRDefault="00620D7D">
      <w:pPr>
        <w:pStyle w:val="TOC2"/>
        <w:tabs>
          <w:tab w:val="right" w:leader="dot" w:pos="10054"/>
        </w:tabs>
        <w:rPr>
          <w:rFonts w:asciiTheme="minorHAnsi" w:eastAsiaTheme="minorEastAsia" w:hAnsiTheme="minorHAnsi"/>
          <w:noProof/>
          <w:lang w:eastAsia="en-AU"/>
        </w:rPr>
      </w:pPr>
      <w:r>
        <w:rPr>
          <w:rFonts w:eastAsiaTheme="majorEastAsia" w:cstheme="majorBidi"/>
          <w:b/>
          <w:sz w:val="28"/>
          <w:szCs w:val="32"/>
        </w:rPr>
        <w:fldChar w:fldCharType="begin"/>
      </w:r>
      <w:r>
        <w:rPr>
          <w:rFonts w:eastAsiaTheme="majorEastAsia" w:cstheme="majorBidi"/>
          <w:b/>
          <w:sz w:val="28"/>
          <w:szCs w:val="32"/>
        </w:rPr>
        <w:instrText xml:space="preserve"> TOC \o "1-3" \h \z \u </w:instrText>
      </w:r>
      <w:r>
        <w:rPr>
          <w:rFonts w:eastAsiaTheme="majorEastAsia" w:cstheme="majorBidi"/>
          <w:b/>
          <w:sz w:val="28"/>
          <w:szCs w:val="32"/>
        </w:rPr>
        <w:fldChar w:fldCharType="separate"/>
      </w:r>
      <w:hyperlink w:anchor="_Toc517439483" w:history="1">
        <w:r w:rsidR="00FF5B70" w:rsidRPr="00311BB2">
          <w:rPr>
            <w:rStyle w:val="Hyperlink"/>
            <w:noProof/>
          </w:rPr>
          <w:t>Questions addressed:</w:t>
        </w:r>
        <w:r w:rsidR="00FF5B70">
          <w:rPr>
            <w:noProof/>
            <w:webHidden/>
          </w:rPr>
          <w:tab/>
        </w:r>
        <w:r w:rsidR="00FF5B70">
          <w:rPr>
            <w:noProof/>
            <w:webHidden/>
          </w:rPr>
          <w:fldChar w:fldCharType="begin"/>
        </w:r>
        <w:r w:rsidR="00FF5B70">
          <w:rPr>
            <w:noProof/>
            <w:webHidden/>
          </w:rPr>
          <w:instrText xml:space="preserve"> PAGEREF _Toc517439483 \h </w:instrText>
        </w:r>
        <w:r w:rsidR="00FF5B70">
          <w:rPr>
            <w:noProof/>
            <w:webHidden/>
          </w:rPr>
        </w:r>
        <w:r w:rsidR="00FF5B70">
          <w:rPr>
            <w:noProof/>
            <w:webHidden/>
          </w:rPr>
          <w:fldChar w:fldCharType="separate"/>
        </w:r>
        <w:r w:rsidR="00FF5B70">
          <w:rPr>
            <w:noProof/>
            <w:webHidden/>
          </w:rPr>
          <w:t>2</w:t>
        </w:r>
        <w:r w:rsidR="00FF5B70">
          <w:rPr>
            <w:noProof/>
            <w:webHidden/>
          </w:rPr>
          <w:fldChar w:fldCharType="end"/>
        </w:r>
      </w:hyperlink>
    </w:p>
    <w:p w:rsidR="00FF5B70" w:rsidRDefault="00695075">
      <w:pPr>
        <w:pStyle w:val="TOC2"/>
        <w:tabs>
          <w:tab w:val="right" w:leader="dot" w:pos="10054"/>
        </w:tabs>
        <w:rPr>
          <w:rFonts w:asciiTheme="minorHAnsi" w:eastAsiaTheme="minorEastAsia" w:hAnsiTheme="minorHAnsi"/>
          <w:noProof/>
          <w:lang w:eastAsia="en-AU"/>
        </w:rPr>
      </w:pPr>
      <w:hyperlink w:anchor="_Toc517439484" w:history="1">
        <w:r w:rsidR="00FF5B70" w:rsidRPr="00311BB2">
          <w:rPr>
            <w:rStyle w:val="Hyperlink"/>
            <w:noProof/>
          </w:rPr>
          <w:t>Introduction</w:t>
        </w:r>
        <w:r w:rsidR="00FF5B70">
          <w:rPr>
            <w:noProof/>
            <w:webHidden/>
          </w:rPr>
          <w:tab/>
        </w:r>
        <w:r w:rsidR="00FF5B70">
          <w:rPr>
            <w:noProof/>
            <w:webHidden/>
          </w:rPr>
          <w:fldChar w:fldCharType="begin"/>
        </w:r>
        <w:r w:rsidR="00FF5B70">
          <w:rPr>
            <w:noProof/>
            <w:webHidden/>
          </w:rPr>
          <w:instrText xml:space="preserve"> PAGEREF _Toc517439484 \h </w:instrText>
        </w:r>
        <w:r w:rsidR="00FF5B70">
          <w:rPr>
            <w:noProof/>
            <w:webHidden/>
          </w:rPr>
        </w:r>
        <w:r w:rsidR="00FF5B70">
          <w:rPr>
            <w:noProof/>
            <w:webHidden/>
          </w:rPr>
          <w:fldChar w:fldCharType="separate"/>
        </w:r>
        <w:r w:rsidR="00FF5B70">
          <w:rPr>
            <w:noProof/>
            <w:webHidden/>
          </w:rPr>
          <w:t>3</w:t>
        </w:r>
        <w:r w:rsidR="00FF5B70">
          <w:rPr>
            <w:noProof/>
            <w:webHidden/>
          </w:rPr>
          <w:fldChar w:fldCharType="end"/>
        </w:r>
      </w:hyperlink>
    </w:p>
    <w:p w:rsidR="00FF5B70" w:rsidRDefault="00695075">
      <w:pPr>
        <w:pStyle w:val="TOC2"/>
        <w:tabs>
          <w:tab w:val="right" w:leader="dot" w:pos="10054"/>
        </w:tabs>
        <w:rPr>
          <w:rFonts w:asciiTheme="minorHAnsi" w:eastAsiaTheme="minorEastAsia" w:hAnsiTheme="minorHAnsi"/>
          <w:noProof/>
          <w:lang w:eastAsia="en-AU"/>
        </w:rPr>
      </w:pPr>
      <w:hyperlink w:anchor="_Toc517439485" w:history="1">
        <w:r w:rsidR="00FF5B70" w:rsidRPr="00311BB2">
          <w:rPr>
            <w:rStyle w:val="Hyperlink"/>
            <w:noProof/>
          </w:rPr>
          <w:t>Analytical strategy</w:t>
        </w:r>
        <w:r w:rsidR="00FF5B70">
          <w:rPr>
            <w:noProof/>
            <w:webHidden/>
          </w:rPr>
          <w:tab/>
        </w:r>
        <w:r w:rsidR="00FF5B70">
          <w:rPr>
            <w:noProof/>
            <w:webHidden/>
          </w:rPr>
          <w:fldChar w:fldCharType="begin"/>
        </w:r>
        <w:r w:rsidR="00FF5B70">
          <w:rPr>
            <w:noProof/>
            <w:webHidden/>
          </w:rPr>
          <w:instrText xml:space="preserve"> PAGEREF _Toc517439485 \h </w:instrText>
        </w:r>
        <w:r w:rsidR="00FF5B70">
          <w:rPr>
            <w:noProof/>
            <w:webHidden/>
          </w:rPr>
        </w:r>
        <w:r w:rsidR="00FF5B70">
          <w:rPr>
            <w:noProof/>
            <w:webHidden/>
          </w:rPr>
          <w:fldChar w:fldCharType="separate"/>
        </w:r>
        <w:r w:rsidR="00FF5B70">
          <w:rPr>
            <w:noProof/>
            <w:webHidden/>
          </w:rPr>
          <w:t>3</w:t>
        </w:r>
        <w:r w:rsidR="00FF5B70">
          <w:rPr>
            <w:noProof/>
            <w:webHidden/>
          </w:rPr>
          <w:fldChar w:fldCharType="end"/>
        </w:r>
      </w:hyperlink>
    </w:p>
    <w:p w:rsidR="00FF5B70" w:rsidRDefault="00695075">
      <w:pPr>
        <w:pStyle w:val="TOC2"/>
        <w:tabs>
          <w:tab w:val="right" w:leader="dot" w:pos="10054"/>
        </w:tabs>
        <w:rPr>
          <w:rFonts w:asciiTheme="minorHAnsi" w:eastAsiaTheme="minorEastAsia" w:hAnsiTheme="minorHAnsi"/>
          <w:noProof/>
          <w:lang w:eastAsia="en-AU"/>
        </w:rPr>
      </w:pPr>
      <w:hyperlink w:anchor="_Toc517439486" w:history="1">
        <w:r w:rsidR="00FF5B70" w:rsidRPr="00311BB2">
          <w:rPr>
            <w:rStyle w:val="Hyperlink"/>
            <w:noProof/>
          </w:rPr>
          <w:t>1. Predicting Success: Estimating the Online Activity Effect by Regression Modelling</w:t>
        </w:r>
        <w:r w:rsidR="00FF5B70">
          <w:rPr>
            <w:noProof/>
            <w:webHidden/>
          </w:rPr>
          <w:tab/>
        </w:r>
        <w:r w:rsidR="00FF5B70">
          <w:rPr>
            <w:noProof/>
            <w:webHidden/>
          </w:rPr>
          <w:fldChar w:fldCharType="begin"/>
        </w:r>
        <w:r w:rsidR="00FF5B70">
          <w:rPr>
            <w:noProof/>
            <w:webHidden/>
          </w:rPr>
          <w:instrText xml:space="preserve"> PAGEREF _Toc517439486 \h </w:instrText>
        </w:r>
        <w:r w:rsidR="00FF5B70">
          <w:rPr>
            <w:noProof/>
            <w:webHidden/>
          </w:rPr>
        </w:r>
        <w:r w:rsidR="00FF5B70">
          <w:rPr>
            <w:noProof/>
            <w:webHidden/>
          </w:rPr>
          <w:fldChar w:fldCharType="separate"/>
        </w:r>
        <w:r w:rsidR="00FF5B70">
          <w:rPr>
            <w:noProof/>
            <w:webHidden/>
          </w:rPr>
          <w:t>4</w:t>
        </w:r>
        <w:r w:rsidR="00FF5B70">
          <w:rPr>
            <w:noProof/>
            <w:webHidden/>
          </w:rPr>
          <w:fldChar w:fldCharType="end"/>
        </w:r>
      </w:hyperlink>
    </w:p>
    <w:p w:rsidR="00FF5B70" w:rsidRDefault="00695075">
      <w:pPr>
        <w:pStyle w:val="TOC2"/>
        <w:tabs>
          <w:tab w:val="right" w:leader="dot" w:pos="10054"/>
        </w:tabs>
        <w:rPr>
          <w:rFonts w:asciiTheme="minorHAnsi" w:eastAsiaTheme="minorEastAsia" w:hAnsiTheme="minorHAnsi"/>
          <w:noProof/>
          <w:lang w:eastAsia="en-AU"/>
        </w:rPr>
      </w:pPr>
      <w:hyperlink w:anchor="_Toc517439487" w:history="1">
        <w:r w:rsidR="00FF5B70" w:rsidRPr="00311BB2">
          <w:rPr>
            <w:rStyle w:val="Hyperlink"/>
            <w:noProof/>
          </w:rPr>
          <w:t>2. Correcting for Endogenous Treatment  Bias: From Correlation to Causality</w:t>
        </w:r>
        <w:r w:rsidR="00FF5B70">
          <w:rPr>
            <w:noProof/>
            <w:webHidden/>
          </w:rPr>
          <w:tab/>
        </w:r>
        <w:r w:rsidR="00FF5B70">
          <w:rPr>
            <w:noProof/>
            <w:webHidden/>
          </w:rPr>
          <w:fldChar w:fldCharType="begin"/>
        </w:r>
        <w:r w:rsidR="00FF5B70">
          <w:rPr>
            <w:noProof/>
            <w:webHidden/>
          </w:rPr>
          <w:instrText xml:space="preserve"> PAGEREF _Toc517439487 \h </w:instrText>
        </w:r>
        <w:r w:rsidR="00FF5B70">
          <w:rPr>
            <w:noProof/>
            <w:webHidden/>
          </w:rPr>
        </w:r>
        <w:r w:rsidR="00FF5B70">
          <w:rPr>
            <w:noProof/>
            <w:webHidden/>
          </w:rPr>
          <w:fldChar w:fldCharType="separate"/>
        </w:r>
        <w:r w:rsidR="00FF5B70">
          <w:rPr>
            <w:noProof/>
            <w:webHidden/>
          </w:rPr>
          <w:t>9</w:t>
        </w:r>
        <w:r w:rsidR="00FF5B70">
          <w:rPr>
            <w:noProof/>
            <w:webHidden/>
          </w:rPr>
          <w:fldChar w:fldCharType="end"/>
        </w:r>
      </w:hyperlink>
    </w:p>
    <w:p w:rsidR="00FF5B70" w:rsidRDefault="00695075">
      <w:pPr>
        <w:pStyle w:val="TOC2"/>
        <w:tabs>
          <w:tab w:val="right" w:leader="dot" w:pos="10054"/>
        </w:tabs>
        <w:rPr>
          <w:rFonts w:asciiTheme="minorHAnsi" w:eastAsiaTheme="minorEastAsia" w:hAnsiTheme="minorHAnsi"/>
          <w:noProof/>
          <w:lang w:eastAsia="en-AU"/>
        </w:rPr>
      </w:pPr>
      <w:hyperlink w:anchor="_Toc517439488" w:history="1">
        <w:r w:rsidR="00FF5B70" w:rsidRPr="00311BB2">
          <w:rPr>
            <w:rStyle w:val="Hyperlink"/>
            <w:noProof/>
          </w:rPr>
          <w:t>3. Interpreting the Counterfactual Model: from Causal Inference to Educational Practice</w:t>
        </w:r>
        <w:r w:rsidR="00FF5B70">
          <w:rPr>
            <w:noProof/>
            <w:webHidden/>
          </w:rPr>
          <w:tab/>
        </w:r>
        <w:r w:rsidR="00FF5B70">
          <w:rPr>
            <w:noProof/>
            <w:webHidden/>
          </w:rPr>
          <w:fldChar w:fldCharType="begin"/>
        </w:r>
        <w:r w:rsidR="00FF5B70">
          <w:rPr>
            <w:noProof/>
            <w:webHidden/>
          </w:rPr>
          <w:instrText xml:space="preserve"> PAGEREF _Toc517439488 \h </w:instrText>
        </w:r>
        <w:r w:rsidR="00FF5B70">
          <w:rPr>
            <w:noProof/>
            <w:webHidden/>
          </w:rPr>
        </w:r>
        <w:r w:rsidR="00FF5B70">
          <w:rPr>
            <w:noProof/>
            <w:webHidden/>
          </w:rPr>
          <w:fldChar w:fldCharType="separate"/>
        </w:r>
        <w:r w:rsidR="00FF5B70">
          <w:rPr>
            <w:noProof/>
            <w:webHidden/>
          </w:rPr>
          <w:t>12</w:t>
        </w:r>
        <w:r w:rsidR="00FF5B70">
          <w:rPr>
            <w:noProof/>
            <w:webHidden/>
          </w:rPr>
          <w:fldChar w:fldCharType="end"/>
        </w:r>
      </w:hyperlink>
    </w:p>
    <w:p w:rsidR="00FF5B70" w:rsidRDefault="00695075">
      <w:pPr>
        <w:pStyle w:val="TOC2"/>
        <w:tabs>
          <w:tab w:val="right" w:leader="dot" w:pos="10054"/>
        </w:tabs>
        <w:rPr>
          <w:rFonts w:asciiTheme="minorHAnsi" w:eastAsiaTheme="minorEastAsia" w:hAnsiTheme="minorHAnsi"/>
          <w:noProof/>
          <w:lang w:eastAsia="en-AU"/>
        </w:rPr>
      </w:pPr>
      <w:hyperlink w:anchor="_Toc517439489" w:history="1">
        <w:r w:rsidR="00FF5B70" w:rsidRPr="00311BB2">
          <w:rPr>
            <w:rStyle w:val="Hyperlink"/>
            <w:noProof/>
          </w:rPr>
          <w:t>Summary and Conclusions</w:t>
        </w:r>
        <w:r w:rsidR="00FF5B70">
          <w:rPr>
            <w:noProof/>
            <w:webHidden/>
          </w:rPr>
          <w:tab/>
        </w:r>
        <w:r w:rsidR="00FF5B70">
          <w:rPr>
            <w:noProof/>
            <w:webHidden/>
          </w:rPr>
          <w:fldChar w:fldCharType="begin"/>
        </w:r>
        <w:r w:rsidR="00FF5B70">
          <w:rPr>
            <w:noProof/>
            <w:webHidden/>
          </w:rPr>
          <w:instrText xml:space="preserve"> PAGEREF _Toc517439489 \h </w:instrText>
        </w:r>
        <w:r w:rsidR="00FF5B70">
          <w:rPr>
            <w:noProof/>
            <w:webHidden/>
          </w:rPr>
        </w:r>
        <w:r w:rsidR="00FF5B70">
          <w:rPr>
            <w:noProof/>
            <w:webHidden/>
          </w:rPr>
          <w:fldChar w:fldCharType="separate"/>
        </w:r>
        <w:r w:rsidR="00FF5B70">
          <w:rPr>
            <w:noProof/>
            <w:webHidden/>
          </w:rPr>
          <w:t>14</w:t>
        </w:r>
        <w:r w:rsidR="00FF5B70">
          <w:rPr>
            <w:noProof/>
            <w:webHidden/>
          </w:rPr>
          <w:fldChar w:fldCharType="end"/>
        </w:r>
      </w:hyperlink>
    </w:p>
    <w:p w:rsidR="00FF5B70" w:rsidRDefault="00695075">
      <w:pPr>
        <w:pStyle w:val="TOC2"/>
        <w:tabs>
          <w:tab w:val="right" w:leader="dot" w:pos="10054"/>
        </w:tabs>
        <w:rPr>
          <w:rFonts w:asciiTheme="minorHAnsi" w:eastAsiaTheme="minorEastAsia" w:hAnsiTheme="minorHAnsi"/>
          <w:noProof/>
          <w:lang w:eastAsia="en-AU"/>
        </w:rPr>
      </w:pPr>
      <w:hyperlink w:anchor="_Toc517439490" w:history="1">
        <w:r w:rsidR="00FF5B70" w:rsidRPr="00311BB2">
          <w:rPr>
            <w:rStyle w:val="Hyperlink"/>
            <w:noProof/>
          </w:rPr>
          <w:t>Bibliography</w:t>
        </w:r>
        <w:r w:rsidR="00FF5B70">
          <w:rPr>
            <w:noProof/>
            <w:webHidden/>
          </w:rPr>
          <w:tab/>
        </w:r>
        <w:r w:rsidR="00FF5B70">
          <w:rPr>
            <w:noProof/>
            <w:webHidden/>
          </w:rPr>
          <w:fldChar w:fldCharType="begin"/>
        </w:r>
        <w:r w:rsidR="00FF5B70">
          <w:rPr>
            <w:noProof/>
            <w:webHidden/>
          </w:rPr>
          <w:instrText xml:space="preserve"> PAGEREF _Toc517439490 \h </w:instrText>
        </w:r>
        <w:r w:rsidR="00FF5B70">
          <w:rPr>
            <w:noProof/>
            <w:webHidden/>
          </w:rPr>
        </w:r>
        <w:r w:rsidR="00FF5B70">
          <w:rPr>
            <w:noProof/>
            <w:webHidden/>
          </w:rPr>
          <w:fldChar w:fldCharType="separate"/>
        </w:r>
        <w:r w:rsidR="00FF5B70">
          <w:rPr>
            <w:noProof/>
            <w:webHidden/>
          </w:rPr>
          <w:t>15</w:t>
        </w:r>
        <w:r w:rsidR="00FF5B70">
          <w:rPr>
            <w:noProof/>
            <w:webHidden/>
          </w:rPr>
          <w:fldChar w:fldCharType="end"/>
        </w:r>
      </w:hyperlink>
    </w:p>
    <w:p w:rsidR="00FF5B70" w:rsidRDefault="00695075">
      <w:pPr>
        <w:pStyle w:val="TOC2"/>
        <w:tabs>
          <w:tab w:val="right" w:leader="dot" w:pos="10054"/>
        </w:tabs>
        <w:rPr>
          <w:rFonts w:asciiTheme="minorHAnsi" w:eastAsiaTheme="minorEastAsia" w:hAnsiTheme="minorHAnsi"/>
          <w:noProof/>
          <w:lang w:eastAsia="en-AU"/>
        </w:rPr>
      </w:pPr>
      <w:hyperlink w:anchor="_Toc517439491" w:history="1">
        <w:r w:rsidR="00FF5B70" w:rsidRPr="00311BB2">
          <w:rPr>
            <w:rStyle w:val="Hyperlink"/>
            <w:noProof/>
          </w:rPr>
          <w:t>Technical Appendices</w:t>
        </w:r>
        <w:r w:rsidR="00FF5B70">
          <w:rPr>
            <w:noProof/>
            <w:webHidden/>
          </w:rPr>
          <w:tab/>
        </w:r>
        <w:r w:rsidR="00FF5B70">
          <w:rPr>
            <w:noProof/>
            <w:webHidden/>
          </w:rPr>
          <w:fldChar w:fldCharType="begin"/>
        </w:r>
        <w:r w:rsidR="00FF5B70">
          <w:rPr>
            <w:noProof/>
            <w:webHidden/>
          </w:rPr>
          <w:instrText xml:space="preserve"> PAGEREF _Toc517439491 \h </w:instrText>
        </w:r>
        <w:r w:rsidR="00FF5B70">
          <w:rPr>
            <w:noProof/>
            <w:webHidden/>
          </w:rPr>
        </w:r>
        <w:r w:rsidR="00FF5B70">
          <w:rPr>
            <w:noProof/>
            <w:webHidden/>
          </w:rPr>
          <w:fldChar w:fldCharType="separate"/>
        </w:r>
        <w:r w:rsidR="00FF5B70">
          <w:rPr>
            <w:noProof/>
            <w:webHidden/>
          </w:rPr>
          <w:t>17</w:t>
        </w:r>
        <w:r w:rsidR="00FF5B70">
          <w:rPr>
            <w:noProof/>
            <w:webHidden/>
          </w:rPr>
          <w:fldChar w:fldCharType="end"/>
        </w:r>
      </w:hyperlink>
    </w:p>
    <w:p w:rsidR="006122FF" w:rsidRDefault="00620D7D" w:rsidP="008C6AC0">
      <w:pPr>
        <w:rPr>
          <w:rFonts w:eastAsiaTheme="majorEastAsia" w:cstheme="majorBidi"/>
          <w:b/>
          <w:sz w:val="28"/>
          <w:szCs w:val="32"/>
        </w:rPr>
      </w:pPr>
      <w:r>
        <w:rPr>
          <w:rFonts w:eastAsiaTheme="majorEastAsia" w:cstheme="majorBidi"/>
          <w:b/>
          <w:sz w:val="28"/>
          <w:szCs w:val="32"/>
        </w:rPr>
        <w:fldChar w:fldCharType="end"/>
      </w:r>
    </w:p>
    <w:p w:rsidR="0063483B" w:rsidRDefault="0063483B">
      <w:pPr>
        <w:rPr>
          <w:rFonts w:eastAsiaTheme="majorEastAsia" w:cstheme="majorBidi"/>
          <w:b/>
          <w:sz w:val="28"/>
          <w:szCs w:val="32"/>
        </w:rPr>
      </w:pPr>
    </w:p>
    <w:p w:rsidR="003738FE" w:rsidRDefault="003738FE">
      <w:pPr>
        <w:rPr>
          <w:rFonts w:eastAsiaTheme="majorEastAsia" w:cstheme="majorBidi"/>
          <w:b/>
          <w:sz w:val="28"/>
          <w:szCs w:val="32"/>
        </w:rPr>
        <w:sectPr w:rsidR="003738FE" w:rsidSect="00A84501">
          <w:pgSz w:w="11906" w:h="16838"/>
          <w:pgMar w:top="426" w:right="849" w:bottom="1440" w:left="993" w:header="708" w:footer="708" w:gutter="0"/>
          <w:cols w:space="708"/>
          <w:docGrid w:linePitch="360"/>
        </w:sectPr>
      </w:pPr>
    </w:p>
    <w:p w:rsidR="006122FF" w:rsidRDefault="003738FE">
      <w:pPr>
        <w:rPr>
          <w:rFonts w:eastAsiaTheme="majorEastAsia" w:cstheme="majorBidi"/>
          <w:b/>
          <w:sz w:val="28"/>
          <w:szCs w:val="32"/>
        </w:rPr>
      </w:pPr>
      <w:r>
        <w:rPr>
          <w:rFonts w:eastAsiaTheme="majorEastAsia" w:cstheme="majorBidi"/>
          <w:b/>
          <w:sz w:val="28"/>
          <w:szCs w:val="32"/>
        </w:rPr>
        <w:lastRenderedPageBreak/>
        <w:t>LIST OF FIGURES</w:t>
      </w:r>
    </w:p>
    <w:p w:rsidR="00FF5B70" w:rsidRDefault="00840C6F">
      <w:pPr>
        <w:pStyle w:val="TableofFigures"/>
        <w:tabs>
          <w:tab w:val="right" w:leader="dot" w:pos="10054"/>
        </w:tabs>
        <w:rPr>
          <w:rFonts w:eastAsiaTheme="minorEastAsia" w:cstheme="minorBidi"/>
          <w:noProof/>
          <w:sz w:val="22"/>
          <w:lang w:eastAsia="en-AU"/>
        </w:rPr>
      </w:pPr>
      <w:r>
        <w:rPr>
          <w:rFonts w:eastAsiaTheme="majorEastAsia" w:cstheme="majorBidi"/>
          <w:b/>
          <w:sz w:val="28"/>
          <w:szCs w:val="32"/>
        </w:rPr>
        <w:fldChar w:fldCharType="begin"/>
      </w:r>
      <w:r>
        <w:rPr>
          <w:rFonts w:eastAsiaTheme="majorEastAsia" w:cstheme="majorBidi"/>
          <w:sz w:val="28"/>
          <w:szCs w:val="32"/>
        </w:rPr>
        <w:instrText xml:space="preserve"> TOC \h \z \t "Figure" \c </w:instrText>
      </w:r>
      <w:r>
        <w:rPr>
          <w:rFonts w:eastAsiaTheme="majorEastAsia" w:cstheme="majorBidi"/>
          <w:b/>
          <w:sz w:val="28"/>
          <w:szCs w:val="32"/>
        </w:rPr>
        <w:fldChar w:fldCharType="separate"/>
      </w:r>
      <w:hyperlink w:anchor="_Toc517439492" w:history="1">
        <w:bookmarkStart w:id="1" w:name="_Toc517439499"/>
        <w:r w:rsidR="00FF5B70" w:rsidRPr="00CB162E">
          <w:rPr>
            <w:rStyle w:val="Hyperlink"/>
            <w:noProof/>
          </w:rPr>
          <w:t>Fig. 2(a) &amp; 2(b) Marginsplots of Regression of Grade Scale on Learnline Activity Score (logscale) Learnline sample:  ( Rsq=.10, p&lt;.0000); Collaborate  sample:Rsq= .04, p&lt;.000) (a) Learnline Activity and Numeric Grade for Unit</w:t>
        </w:r>
        <w:r w:rsidR="00FF5B70">
          <w:rPr>
            <w:noProof/>
            <w:webHidden/>
          </w:rPr>
          <w:tab/>
        </w:r>
        <w:r w:rsidR="00FF5B70">
          <w:rPr>
            <w:noProof/>
            <w:webHidden/>
          </w:rPr>
          <w:fldChar w:fldCharType="begin"/>
        </w:r>
        <w:r w:rsidR="00FF5B70">
          <w:rPr>
            <w:noProof/>
            <w:webHidden/>
          </w:rPr>
          <w:instrText xml:space="preserve"> PAGEREF _Toc517439492 \h </w:instrText>
        </w:r>
        <w:r w:rsidR="00FF5B70">
          <w:rPr>
            <w:noProof/>
            <w:webHidden/>
          </w:rPr>
        </w:r>
        <w:r w:rsidR="00FF5B70">
          <w:rPr>
            <w:noProof/>
            <w:webHidden/>
          </w:rPr>
          <w:fldChar w:fldCharType="separate"/>
        </w:r>
        <w:r w:rsidR="00FF5B70">
          <w:rPr>
            <w:noProof/>
            <w:webHidden/>
          </w:rPr>
          <w:t>5</w:t>
        </w:r>
        <w:bookmarkEnd w:id="1"/>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493" w:history="1">
        <w:bookmarkStart w:id="2" w:name="_Toc517439500"/>
        <w:r w:rsidR="00FF5B70" w:rsidRPr="00CB162E">
          <w:rPr>
            <w:rStyle w:val="Hyperlink"/>
            <w:noProof/>
          </w:rPr>
          <w:t>(b) Collaborate Participation and Numeric Grade for Unit</w:t>
        </w:r>
        <w:r w:rsidR="00FF5B70">
          <w:rPr>
            <w:noProof/>
            <w:webHidden/>
          </w:rPr>
          <w:tab/>
        </w:r>
        <w:r w:rsidR="00FF5B70">
          <w:rPr>
            <w:noProof/>
            <w:webHidden/>
          </w:rPr>
          <w:fldChar w:fldCharType="begin"/>
        </w:r>
        <w:r w:rsidR="00FF5B70">
          <w:rPr>
            <w:noProof/>
            <w:webHidden/>
          </w:rPr>
          <w:instrText xml:space="preserve"> PAGEREF _Toc517439493 \h </w:instrText>
        </w:r>
        <w:r w:rsidR="00FF5B70">
          <w:rPr>
            <w:noProof/>
            <w:webHidden/>
          </w:rPr>
        </w:r>
        <w:r w:rsidR="00FF5B70">
          <w:rPr>
            <w:noProof/>
            <w:webHidden/>
          </w:rPr>
          <w:fldChar w:fldCharType="separate"/>
        </w:r>
        <w:r w:rsidR="00FF5B70">
          <w:rPr>
            <w:noProof/>
            <w:webHidden/>
          </w:rPr>
          <w:t>6</w:t>
        </w:r>
        <w:bookmarkEnd w:id="2"/>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494" w:history="1">
        <w:bookmarkStart w:id="3" w:name="_Toc517439501"/>
        <w:r w:rsidR="00FF5B70" w:rsidRPr="00CB162E">
          <w:rPr>
            <w:rStyle w:val="Hyperlink"/>
            <w:noProof/>
          </w:rPr>
          <w:t>Fig. 3 (a) Marginsplot of Grade Scale on Learnline Activity, Covariates and Pedagogic Context  (n=8,970; R2 adj. = .23)</w:t>
        </w:r>
        <w:r w:rsidR="00FF5B70">
          <w:rPr>
            <w:noProof/>
            <w:webHidden/>
          </w:rPr>
          <w:tab/>
        </w:r>
        <w:r w:rsidR="00FF5B70">
          <w:rPr>
            <w:noProof/>
            <w:webHidden/>
          </w:rPr>
          <w:fldChar w:fldCharType="begin"/>
        </w:r>
        <w:r w:rsidR="00FF5B70">
          <w:rPr>
            <w:noProof/>
            <w:webHidden/>
          </w:rPr>
          <w:instrText xml:space="preserve"> PAGEREF _Toc517439494 \h </w:instrText>
        </w:r>
        <w:r w:rsidR="00FF5B70">
          <w:rPr>
            <w:noProof/>
            <w:webHidden/>
          </w:rPr>
        </w:r>
        <w:r w:rsidR="00FF5B70">
          <w:rPr>
            <w:noProof/>
            <w:webHidden/>
          </w:rPr>
          <w:fldChar w:fldCharType="separate"/>
        </w:r>
        <w:r w:rsidR="00FF5B70">
          <w:rPr>
            <w:noProof/>
            <w:webHidden/>
          </w:rPr>
          <w:t>7</w:t>
        </w:r>
        <w:bookmarkEnd w:id="3"/>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495" w:history="1">
        <w:bookmarkStart w:id="4" w:name="_Toc517439502"/>
        <w:r w:rsidR="00FF5B70" w:rsidRPr="00CB162E">
          <w:rPr>
            <w:rStyle w:val="Hyperlink"/>
            <w:noProof/>
          </w:rPr>
          <w:t>Fig. 3(b) Marginsplot of Grade Scale on Collaborate Activity, Covariates Context Terms* (n=3,898; R2 adj. = .17)</w:t>
        </w:r>
        <w:r w:rsidR="00FF5B70">
          <w:rPr>
            <w:noProof/>
            <w:webHidden/>
          </w:rPr>
          <w:tab/>
        </w:r>
        <w:r w:rsidR="00FF5B70">
          <w:rPr>
            <w:noProof/>
            <w:webHidden/>
          </w:rPr>
          <w:fldChar w:fldCharType="begin"/>
        </w:r>
        <w:r w:rsidR="00FF5B70">
          <w:rPr>
            <w:noProof/>
            <w:webHidden/>
          </w:rPr>
          <w:instrText xml:space="preserve"> PAGEREF _Toc517439495 \h </w:instrText>
        </w:r>
        <w:r w:rsidR="00FF5B70">
          <w:rPr>
            <w:noProof/>
            <w:webHidden/>
          </w:rPr>
        </w:r>
        <w:r w:rsidR="00FF5B70">
          <w:rPr>
            <w:noProof/>
            <w:webHidden/>
          </w:rPr>
          <w:fldChar w:fldCharType="separate"/>
        </w:r>
        <w:r w:rsidR="00FF5B70">
          <w:rPr>
            <w:noProof/>
            <w:webHidden/>
          </w:rPr>
          <w:t>8</w:t>
        </w:r>
        <w:bookmarkEnd w:id="4"/>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496" w:history="1">
        <w:bookmarkStart w:id="5" w:name="_Toc517439503"/>
        <w:r w:rsidR="00FF5B70" w:rsidRPr="00CB162E">
          <w:rPr>
            <w:rStyle w:val="Hyperlink"/>
            <w:noProof/>
          </w:rPr>
          <w:t>Fig. 4 Potential Average Numeric Grade Gains by Online Activity and Pedagogic Context Error Bars (95% C.I.) based on Appendix Tables A.6 &amp; A.7)</w:t>
        </w:r>
        <w:r w:rsidR="00FF5B70">
          <w:rPr>
            <w:noProof/>
            <w:webHidden/>
          </w:rPr>
          <w:tab/>
        </w:r>
        <w:r w:rsidR="00FF5B70">
          <w:rPr>
            <w:noProof/>
            <w:webHidden/>
          </w:rPr>
          <w:fldChar w:fldCharType="begin"/>
        </w:r>
        <w:r w:rsidR="00FF5B70">
          <w:rPr>
            <w:noProof/>
            <w:webHidden/>
          </w:rPr>
          <w:instrText xml:space="preserve"> PAGEREF _Toc517439496 \h </w:instrText>
        </w:r>
        <w:r w:rsidR="00FF5B70">
          <w:rPr>
            <w:noProof/>
            <w:webHidden/>
          </w:rPr>
        </w:r>
        <w:r w:rsidR="00FF5B70">
          <w:rPr>
            <w:noProof/>
            <w:webHidden/>
          </w:rPr>
          <w:fldChar w:fldCharType="separate"/>
        </w:r>
        <w:r w:rsidR="00FF5B70">
          <w:rPr>
            <w:noProof/>
            <w:webHidden/>
          </w:rPr>
          <w:t>11</w:t>
        </w:r>
        <w:bookmarkEnd w:id="5"/>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497" w:history="1">
        <w:bookmarkStart w:id="6" w:name="_Toc517439504"/>
        <w:r w:rsidR="00FF5B70" w:rsidRPr="00CB162E">
          <w:rPr>
            <w:rStyle w:val="Hyperlink"/>
            <w:noProof/>
          </w:rPr>
          <w:t>Fig. 5 Comparison of Predicted Numerical Gains in Grade Awarded: Three Regression Models “Untreated” (left-hand scoreline) vs “Treated” (right-hand scoreline)</w:t>
        </w:r>
        <w:r w:rsidR="00FF5B70">
          <w:rPr>
            <w:noProof/>
            <w:webHidden/>
          </w:rPr>
          <w:tab/>
        </w:r>
        <w:r w:rsidR="00FF5B70">
          <w:rPr>
            <w:noProof/>
            <w:webHidden/>
          </w:rPr>
          <w:fldChar w:fldCharType="begin"/>
        </w:r>
        <w:r w:rsidR="00FF5B70">
          <w:rPr>
            <w:noProof/>
            <w:webHidden/>
          </w:rPr>
          <w:instrText xml:space="preserve"> PAGEREF _Toc517439497 \h </w:instrText>
        </w:r>
        <w:r w:rsidR="00FF5B70">
          <w:rPr>
            <w:noProof/>
            <w:webHidden/>
          </w:rPr>
        </w:r>
        <w:r w:rsidR="00FF5B70">
          <w:rPr>
            <w:noProof/>
            <w:webHidden/>
          </w:rPr>
          <w:fldChar w:fldCharType="separate"/>
        </w:r>
        <w:r w:rsidR="00FF5B70">
          <w:rPr>
            <w:noProof/>
            <w:webHidden/>
          </w:rPr>
          <w:t>12</w:t>
        </w:r>
        <w:bookmarkEnd w:id="6"/>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498" w:history="1">
        <w:bookmarkStart w:id="7" w:name="_Toc517439505"/>
        <w:r w:rsidR="00FF5B70" w:rsidRPr="00CB162E">
          <w:rPr>
            <w:rStyle w:val="Hyperlink"/>
            <w:noProof/>
          </w:rPr>
          <w:t>Fig. 6 Comparison of Distributions of Predicted Numerical Grade Scores*: Learnline and Collaborate</w:t>
        </w:r>
        <w:r w:rsidR="00FF5B70">
          <w:rPr>
            <w:noProof/>
            <w:webHidden/>
          </w:rPr>
          <w:tab/>
        </w:r>
        <w:r w:rsidR="00FF5B70">
          <w:rPr>
            <w:noProof/>
            <w:webHidden/>
          </w:rPr>
          <w:fldChar w:fldCharType="begin"/>
        </w:r>
        <w:r w:rsidR="00FF5B70">
          <w:rPr>
            <w:noProof/>
            <w:webHidden/>
          </w:rPr>
          <w:instrText xml:space="preserve"> PAGEREF _Toc517439498 \h </w:instrText>
        </w:r>
        <w:r w:rsidR="00FF5B70">
          <w:rPr>
            <w:noProof/>
            <w:webHidden/>
          </w:rPr>
        </w:r>
        <w:r w:rsidR="00FF5B70">
          <w:rPr>
            <w:noProof/>
            <w:webHidden/>
          </w:rPr>
          <w:fldChar w:fldCharType="separate"/>
        </w:r>
        <w:r w:rsidR="00FF5B70">
          <w:rPr>
            <w:noProof/>
            <w:webHidden/>
          </w:rPr>
          <w:t>13</w:t>
        </w:r>
        <w:bookmarkEnd w:id="7"/>
        <w:r w:rsidR="00FF5B70">
          <w:rPr>
            <w:noProof/>
            <w:webHidden/>
          </w:rPr>
          <w:fldChar w:fldCharType="end"/>
        </w:r>
      </w:hyperlink>
    </w:p>
    <w:p w:rsidR="006F140A" w:rsidRDefault="00840C6F" w:rsidP="006F140A">
      <w:pPr>
        <w:spacing w:after="0"/>
        <w:rPr>
          <w:rFonts w:eastAsiaTheme="majorEastAsia" w:cstheme="majorBidi"/>
          <w:b/>
          <w:sz w:val="28"/>
          <w:szCs w:val="32"/>
        </w:rPr>
      </w:pPr>
      <w:r>
        <w:rPr>
          <w:rFonts w:eastAsiaTheme="majorEastAsia" w:cstheme="majorBidi"/>
          <w:sz w:val="28"/>
          <w:szCs w:val="32"/>
        </w:rPr>
        <w:fldChar w:fldCharType="end"/>
      </w:r>
      <w:r w:rsidR="009017CA" w:rsidRPr="009017CA">
        <w:rPr>
          <w:rFonts w:eastAsiaTheme="majorEastAsia" w:cstheme="majorBidi"/>
          <w:b/>
          <w:sz w:val="28"/>
          <w:szCs w:val="32"/>
        </w:rPr>
        <w:t xml:space="preserve"> </w:t>
      </w:r>
    </w:p>
    <w:p w:rsidR="00FF5B70" w:rsidRDefault="009017CA" w:rsidP="00FF5B70">
      <w:pPr>
        <w:spacing w:after="0"/>
        <w:rPr>
          <w:rFonts w:eastAsiaTheme="minorEastAsia"/>
          <w:noProof/>
          <w:lang w:eastAsia="en-AU"/>
        </w:rPr>
      </w:pPr>
      <w:r>
        <w:rPr>
          <w:rFonts w:eastAsiaTheme="majorEastAsia" w:cstheme="majorBidi"/>
          <w:b/>
          <w:sz w:val="28"/>
          <w:szCs w:val="32"/>
        </w:rPr>
        <w:t>LIST OF TABLES</w:t>
      </w:r>
      <w:r w:rsidR="00662F57">
        <w:rPr>
          <w:rFonts w:eastAsiaTheme="majorEastAsia" w:cstheme="majorBidi"/>
          <w:sz w:val="28"/>
          <w:szCs w:val="32"/>
        </w:rPr>
        <w:fldChar w:fldCharType="begin"/>
      </w:r>
      <w:r w:rsidR="00662F57">
        <w:rPr>
          <w:rFonts w:eastAsiaTheme="majorEastAsia" w:cstheme="majorBidi"/>
          <w:sz w:val="28"/>
          <w:szCs w:val="32"/>
        </w:rPr>
        <w:instrText xml:space="preserve"> TOC \f F \h \z \t "Table of Figures" \c </w:instrText>
      </w:r>
      <w:r w:rsidR="00662F57">
        <w:rPr>
          <w:rFonts w:eastAsiaTheme="majorEastAsia" w:cstheme="majorBidi"/>
          <w:sz w:val="28"/>
          <w:szCs w:val="32"/>
        </w:rPr>
        <w:fldChar w:fldCharType="separate"/>
      </w:r>
    </w:p>
    <w:p w:rsidR="00FF5B70" w:rsidRDefault="00695075">
      <w:pPr>
        <w:pStyle w:val="TableofFigures"/>
        <w:tabs>
          <w:tab w:val="right" w:leader="dot" w:pos="10054"/>
        </w:tabs>
        <w:rPr>
          <w:rFonts w:eastAsiaTheme="minorEastAsia" w:cstheme="minorBidi"/>
          <w:noProof/>
          <w:sz w:val="22"/>
          <w:lang w:eastAsia="en-AU"/>
        </w:rPr>
      </w:pPr>
      <w:hyperlink w:anchor="_Toc517439506" w:history="1">
        <w:r w:rsidR="00FF5B70" w:rsidRPr="00D75CC6">
          <w:rPr>
            <w:rStyle w:val="Hyperlink"/>
            <w:noProof/>
          </w:rPr>
          <w:t>Table 1 Marginal Numerical Grade Scores and Gains by Online Activity Group and Activity Type</w:t>
        </w:r>
        <w:r w:rsidR="00FF5B70">
          <w:rPr>
            <w:noProof/>
            <w:webHidden/>
          </w:rPr>
          <w:tab/>
        </w:r>
        <w:r w:rsidR="00FF5B70">
          <w:rPr>
            <w:noProof/>
            <w:webHidden/>
          </w:rPr>
          <w:fldChar w:fldCharType="begin"/>
        </w:r>
        <w:r w:rsidR="00FF5B70">
          <w:rPr>
            <w:noProof/>
            <w:webHidden/>
          </w:rPr>
          <w:instrText xml:space="preserve"> PAGEREF _Toc517439506 \h </w:instrText>
        </w:r>
        <w:r w:rsidR="00FF5B70">
          <w:rPr>
            <w:noProof/>
            <w:webHidden/>
          </w:rPr>
        </w:r>
        <w:r w:rsidR="00FF5B70">
          <w:rPr>
            <w:noProof/>
            <w:webHidden/>
          </w:rPr>
          <w:fldChar w:fldCharType="separate"/>
        </w:r>
        <w:r w:rsidR="00FF5B70">
          <w:rPr>
            <w:noProof/>
            <w:webHidden/>
          </w:rPr>
          <w:t>5</w:t>
        </w:r>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507" w:history="1">
        <w:r w:rsidR="00FF5B70" w:rsidRPr="00D75CC6">
          <w:rPr>
            <w:rStyle w:val="Hyperlink"/>
            <w:noProof/>
          </w:rPr>
          <w:t>(Unadjusted scores; Learnline n= 9,015; Collaborate n=3,905)</w:t>
        </w:r>
        <w:r w:rsidR="00FF5B70">
          <w:rPr>
            <w:noProof/>
            <w:webHidden/>
          </w:rPr>
          <w:tab/>
        </w:r>
        <w:r w:rsidR="00FF5B70">
          <w:rPr>
            <w:noProof/>
            <w:webHidden/>
          </w:rPr>
          <w:fldChar w:fldCharType="begin"/>
        </w:r>
        <w:r w:rsidR="00FF5B70">
          <w:rPr>
            <w:noProof/>
            <w:webHidden/>
          </w:rPr>
          <w:instrText xml:space="preserve"> PAGEREF _Toc517439507 \h </w:instrText>
        </w:r>
        <w:r w:rsidR="00FF5B70">
          <w:rPr>
            <w:noProof/>
            <w:webHidden/>
          </w:rPr>
        </w:r>
        <w:r w:rsidR="00FF5B70">
          <w:rPr>
            <w:noProof/>
            <w:webHidden/>
          </w:rPr>
          <w:fldChar w:fldCharType="separate"/>
        </w:r>
        <w:r w:rsidR="00FF5B70">
          <w:rPr>
            <w:noProof/>
            <w:webHidden/>
          </w:rPr>
          <w:t>5</w:t>
        </w:r>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508" w:history="1">
        <w:r w:rsidR="00FF5B70" w:rsidRPr="00D75CC6">
          <w:rPr>
            <w:rStyle w:val="Hyperlink"/>
            <w:noProof/>
          </w:rPr>
          <w:t>Table 2. Predicted Numerical Grade Scores by Online Activity Group and Activity Type  (Controlling for Pedagogic Context and Selected Student Background Attributes)</w:t>
        </w:r>
        <w:r w:rsidR="00FF5B70">
          <w:rPr>
            <w:noProof/>
            <w:webHidden/>
          </w:rPr>
          <w:tab/>
        </w:r>
        <w:r w:rsidR="00FF5B70">
          <w:rPr>
            <w:noProof/>
            <w:webHidden/>
          </w:rPr>
          <w:fldChar w:fldCharType="begin"/>
        </w:r>
        <w:r w:rsidR="00FF5B70">
          <w:rPr>
            <w:noProof/>
            <w:webHidden/>
          </w:rPr>
          <w:instrText xml:space="preserve"> PAGEREF _Toc517439508 \h </w:instrText>
        </w:r>
        <w:r w:rsidR="00FF5B70">
          <w:rPr>
            <w:noProof/>
            <w:webHidden/>
          </w:rPr>
        </w:r>
        <w:r w:rsidR="00FF5B70">
          <w:rPr>
            <w:noProof/>
            <w:webHidden/>
          </w:rPr>
          <w:fldChar w:fldCharType="separate"/>
        </w:r>
        <w:r w:rsidR="00FF5B70">
          <w:rPr>
            <w:noProof/>
            <w:webHidden/>
          </w:rPr>
          <w:t>7</w:t>
        </w:r>
        <w:r w:rsidR="00FF5B70">
          <w:rPr>
            <w:noProof/>
            <w:webHidden/>
          </w:rPr>
          <w:fldChar w:fldCharType="end"/>
        </w:r>
      </w:hyperlink>
    </w:p>
    <w:p w:rsidR="00FF5B70" w:rsidRDefault="00695075">
      <w:pPr>
        <w:pStyle w:val="TableofFigures"/>
        <w:tabs>
          <w:tab w:val="right" w:leader="dot" w:pos="10054"/>
        </w:tabs>
        <w:rPr>
          <w:rFonts w:eastAsiaTheme="minorEastAsia" w:cstheme="minorBidi"/>
          <w:noProof/>
          <w:sz w:val="22"/>
          <w:lang w:eastAsia="en-AU"/>
        </w:rPr>
      </w:pPr>
      <w:hyperlink w:anchor="_Toc517439509" w:history="1">
        <w:r w:rsidR="00FF5B70" w:rsidRPr="00D75CC6">
          <w:rPr>
            <w:rStyle w:val="Hyperlink"/>
            <w:noProof/>
          </w:rPr>
          <w:t>Table 3 Treatment Groups for Learnline Activity and Collaborate Participation</w:t>
        </w:r>
        <w:r w:rsidR="00FF5B70">
          <w:rPr>
            <w:noProof/>
            <w:webHidden/>
          </w:rPr>
          <w:tab/>
        </w:r>
        <w:r w:rsidR="00FF5B70">
          <w:rPr>
            <w:noProof/>
            <w:webHidden/>
          </w:rPr>
          <w:fldChar w:fldCharType="begin"/>
        </w:r>
        <w:r w:rsidR="00FF5B70">
          <w:rPr>
            <w:noProof/>
            <w:webHidden/>
          </w:rPr>
          <w:instrText xml:space="preserve"> PAGEREF _Toc517439509 \h </w:instrText>
        </w:r>
        <w:r w:rsidR="00FF5B70">
          <w:rPr>
            <w:noProof/>
            <w:webHidden/>
          </w:rPr>
        </w:r>
        <w:r w:rsidR="00FF5B70">
          <w:rPr>
            <w:noProof/>
            <w:webHidden/>
          </w:rPr>
          <w:fldChar w:fldCharType="separate"/>
        </w:r>
        <w:r w:rsidR="00FF5B70">
          <w:rPr>
            <w:noProof/>
            <w:webHidden/>
          </w:rPr>
          <w:t>10</w:t>
        </w:r>
        <w:r w:rsidR="00FF5B70">
          <w:rPr>
            <w:noProof/>
            <w:webHidden/>
          </w:rPr>
          <w:fldChar w:fldCharType="end"/>
        </w:r>
      </w:hyperlink>
    </w:p>
    <w:p w:rsidR="006F140A" w:rsidRDefault="00662F57" w:rsidP="00D25B08">
      <w:r>
        <w:fldChar w:fldCharType="end"/>
      </w:r>
    </w:p>
    <w:p w:rsidR="006F140A" w:rsidRDefault="006F140A">
      <w:r>
        <w:br w:type="page"/>
      </w:r>
    </w:p>
    <w:p w:rsidR="00A84501" w:rsidRPr="004C3B5F" w:rsidRDefault="00091987" w:rsidP="00091987">
      <w:pPr>
        <w:pStyle w:val="Heading2"/>
      </w:pPr>
      <w:bookmarkStart w:id="8" w:name="_Toc517439483"/>
      <w:r>
        <w:lastRenderedPageBreak/>
        <w:t>Questions addressed</w:t>
      </w:r>
      <w:r w:rsidR="00691F72">
        <w:t>:</w:t>
      </w:r>
      <w:bookmarkEnd w:id="8"/>
    </w:p>
    <w:p w:rsidR="00091987" w:rsidRPr="00691F72" w:rsidRDefault="00091987" w:rsidP="00A856BF">
      <w:pPr>
        <w:ind w:left="340"/>
        <w:rPr>
          <w:i/>
        </w:rPr>
      </w:pPr>
      <w:r w:rsidRPr="00691F72">
        <w:rPr>
          <w:i/>
        </w:rPr>
        <w:t xml:space="preserve">How well do reported levels of student </w:t>
      </w:r>
      <w:proofErr w:type="spellStart"/>
      <w:r w:rsidRPr="00691F72">
        <w:rPr>
          <w:i/>
        </w:rPr>
        <w:t>Learnline</w:t>
      </w:r>
      <w:proofErr w:type="spellEnd"/>
      <w:r w:rsidRPr="00691F72">
        <w:rPr>
          <w:i/>
        </w:rPr>
        <w:t xml:space="preserve"> activity and Collaborate participation predict the Grade Awarded in a range of Common and Core first year units when the confounding factors (both individual and contextual) have been controlled? </w:t>
      </w:r>
    </w:p>
    <w:p w:rsidR="00091987" w:rsidRPr="00691F72" w:rsidRDefault="00091987" w:rsidP="00A856BF">
      <w:pPr>
        <w:ind w:left="340"/>
        <w:rPr>
          <w:i/>
        </w:rPr>
      </w:pPr>
      <w:r w:rsidRPr="00691F72">
        <w:rPr>
          <w:i/>
        </w:rPr>
        <w:t xml:space="preserve">What might have been the effect of these activities in unit grade awarded, had students been randomly assigned to different levels of </w:t>
      </w:r>
      <w:proofErr w:type="spellStart"/>
      <w:r w:rsidRPr="00691F72">
        <w:rPr>
          <w:i/>
        </w:rPr>
        <w:t>Learnline</w:t>
      </w:r>
      <w:proofErr w:type="spellEnd"/>
      <w:r w:rsidRPr="00691F72">
        <w:rPr>
          <w:i/>
        </w:rPr>
        <w:t xml:space="preserve"> activity or Collaborate participation?</w:t>
      </w:r>
    </w:p>
    <w:p w:rsidR="00091987" w:rsidRPr="00EF3E82" w:rsidRDefault="00091987" w:rsidP="00091987">
      <w:r w:rsidRPr="00EF3E82">
        <w:t xml:space="preserve">In addressing this question, we have found that: </w:t>
      </w:r>
    </w:p>
    <w:p w:rsidR="00091987" w:rsidRPr="00EF3E82" w:rsidRDefault="00091987" w:rsidP="008209C9">
      <w:pPr>
        <w:pStyle w:val="ListParagraph"/>
        <w:numPr>
          <w:ilvl w:val="0"/>
          <w:numId w:val="4"/>
        </w:numPr>
      </w:pPr>
      <w:r w:rsidRPr="00EF3E82">
        <w:t xml:space="preserve">Linear regression analysis showed a positive and statistically significant marginal effect of levels of both </w:t>
      </w:r>
      <w:proofErr w:type="spellStart"/>
      <w:r w:rsidRPr="00EF3E82">
        <w:t>Learnline</w:t>
      </w:r>
      <w:proofErr w:type="spellEnd"/>
      <w:r w:rsidRPr="00EF3E82">
        <w:t xml:space="preserve"> Activity and Collaborate Participation on Grade Awarded in the both Common and Core first year units.</w:t>
      </w:r>
    </w:p>
    <w:p w:rsidR="00091987" w:rsidRPr="00EF3E82" w:rsidRDefault="00091987" w:rsidP="008209C9">
      <w:pPr>
        <w:pStyle w:val="ListParagraph"/>
        <w:numPr>
          <w:ilvl w:val="0"/>
          <w:numId w:val="4"/>
        </w:numPr>
      </w:pPr>
      <w:r w:rsidRPr="00EF3E82">
        <w:t xml:space="preserve">A positive and statistically significant effect persisted after controlling for both student demographics and Pedagogic Context (a categorical variable defined as four combinations of external vs internal attendance by Common vs Core first year unit types). </w:t>
      </w:r>
    </w:p>
    <w:p w:rsidR="00091987" w:rsidRPr="00EF3E82" w:rsidRDefault="00091987" w:rsidP="008209C9">
      <w:pPr>
        <w:pStyle w:val="ListParagraph"/>
        <w:numPr>
          <w:ilvl w:val="0"/>
          <w:numId w:val="4"/>
        </w:numPr>
      </w:pPr>
      <w:r w:rsidRPr="00EF3E82">
        <w:t>The four Pedagogic Context combinations exerted contrasting</w:t>
      </w:r>
      <w:r>
        <w:t xml:space="preserve"> </w:t>
      </w:r>
      <w:r w:rsidRPr="00EF3E82">
        <w:t xml:space="preserve">patterns of mediation of the effects of online Activity, with consistent linear gains for </w:t>
      </w:r>
      <w:proofErr w:type="spellStart"/>
      <w:r w:rsidRPr="00EF3E82">
        <w:t>Learnline</w:t>
      </w:r>
      <w:proofErr w:type="spellEnd"/>
      <w:r w:rsidRPr="00EF3E82">
        <w:t xml:space="preserve"> Activity but variable and inconsistent marginal effects for Collaborate Participation. </w:t>
      </w:r>
    </w:p>
    <w:p w:rsidR="00091987" w:rsidRPr="00EF3E82" w:rsidRDefault="00091987" w:rsidP="008209C9">
      <w:pPr>
        <w:pStyle w:val="ListParagraph"/>
        <w:numPr>
          <w:ilvl w:val="0"/>
          <w:numId w:val="4"/>
        </w:numPr>
      </w:pPr>
      <w:r w:rsidRPr="00EF3E82">
        <w:t xml:space="preserve">Results for regression modelling for </w:t>
      </w:r>
      <w:proofErr w:type="spellStart"/>
      <w:r w:rsidRPr="00EF3E82">
        <w:t>Learnline</w:t>
      </w:r>
      <w:proofErr w:type="spellEnd"/>
      <w:r w:rsidRPr="00EF3E82">
        <w:t xml:space="preserve"> Activity showed greater estimated marginal gains for the Core units, though from a lower average awarded grade base across both modes of attendance; for Collaborate Participation, External mode for both unit categories showed significant positive gains. </w:t>
      </w:r>
    </w:p>
    <w:p w:rsidR="00091987" w:rsidRPr="00EF3E82" w:rsidRDefault="00091987" w:rsidP="008209C9">
      <w:pPr>
        <w:pStyle w:val="ListParagraph"/>
        <w:numPr>
          <w:ilvl w:val="0"/>
          <w:numId w:val="4"/>
        </w:numPr>
      </w:pPr>
      <w:r w:rsidRPr="00EF3E82">
        <w:t>Results from potential outco</w:t>
      </w:r>
      <w:r w:rsidR="00691F72">
        <w:t>mes/counterfactual modelling that</w:t>
      </w:r>
      <w:r w:rsidRPr="00EF3E82">
        <w:t xml:space="preserve"> simulate randomised assignment designs provided evidence for</w:t>
      </w:r>
      <w:r>
        <w:t xml:space="preserve"> </w:t>
      </w:r>
      <w:r w:rsidRPr="00EF3E82">
        <w:t xml:space="preserve">a positive strong, positive causal, linear marginal effect of higher levels of online activity/ participation on potential grades across all first year units for both </w:t>
      </w:r>
      <w:proofErr w:type="spellStart"/>
      <w:r w:rsidRPr="00EF3E82">
        <w:t>Learnline</w:t>
      </w:r>
      <w:proofErr w:type="spellEnd"/>
      <w:r w:rsidRPr="00EF3E82">
        <w:t xml:space="preserve"> and Collaborate samples.</w:t>
      </w:r>
    </w:p>
    <w:p w:rsidR="00091987" w:rsidRPr="00EF3E82" w:rsidRDefault="00091987" w:rsidP="008209C9">
      <w:pPr>
        <w:pStyle w:val="ListParagraph"/>
        <w:numPr>
          <w:ilvl w:val="0"/>
          <w:numId w:val="4"/>
        </w:numPr>
      </w:pPr>
      <w:r w:rsidRPr="00EF3E82">
        <w:t>A much larger marginal effect of online levels on predicted grades attributed to higher levels of online activity/participation by counterfactual modelling was due to prediction of lower grades (by about a full numerical grade) for “untreated” or lower activity/ participation groups, rather than a predicted boost to those of the “treated” (between a quarter to a third of a numerical grade).</w:t>
      </w:r>
    </w:p>
    <w:p w:rsidR="00091987" w:rsidRDefault="00091987" w:rsidP="008209C9">
      <w:pPr>
        <w:pStyle w:val="ListParagraph"/>
        <w:numPr>
          <w:ilvl w:val="0"/>
          <w:numId w:val="4"/>
        </w:numPr>
      </w:pPr>
      <w:r w:rsidRPr="00EF3E82">
        <w:t>A large effect for unmeasured variables appeared to decrease the likelihood of higher level of online activity or participation. This finding suggests that research that could identify and remediate these inhibitors to engagement and has considerable potential for boosting student outcomes across the range of pedagogic contexts.</w:t>
      </w:r>
    </w:p>
    <w:p w:rsidR="00A856BF" w:rsidRDefault="00A856BF">
      <w:pPr>
        <w:rPr>
          <w:rFonts w:eastAsiaTheme="majorEastAsia" w:cstheme="majorBidi"/>
          <w:b/>
          <w:bCs/>
          <w:sz w:val="26"/>
          <w:szCs w:val="26"/>
        </w:rPr>
      </w:pPr>
      <w:r>
        <w:br w:type="page"/>
      </w:r>
    </w:p>
    <w:p w:rsidR="00091987" w:rsidRDefault="00091987" w:rsidP="00691F72">
      <w:pPr>
        <w:pStyle w:val="Heading2"/>
      </w:pPr>
      <w:bookmarkStart w:id="9" w:name="_Toc517439484"/>
      <w:r>
        <w:lastRenderedPageBreak/>
        <w:t>Introduction</w:t>
      </w:r>
      <w:bookmarkEnd w:id="9"/>
    </w:p>
    <w:p w:rsidR="00091987" w:rsidRPr="00F63B1E" w:rsidRDefault="00091987" w:rsidP="00091987">
      <w:r w:rsidRPr="00F63B1E">
        <w:t xml:space="preserve">In this section of the Delivering Success report, we looked into the causal background to the correlations between online Activity and student grades reported in the previous section. </w:t>
      </w:r>
    </w:p>
    <w:p w:rsidR="00091987" w:rsidRPr="00A856BF" w:rsidRDefault="00091987" w:rsidP="00091987">
      <w:pPr>
        <w:rPr>
          <w:b/>
        </w:rPr>
      </w:pPr>
      <w:r w:rsidRPr="00A856BF">
        <w:rPr>
          <w:b/>
        </w:rPr>
        <w:t>We addressed the following question:</w:t>
      </w:r>
    </w:p>
    <w:p w:rsidR="00091987" w:rsidRPr="00A856BF" w:rsidRDefault="00091987" w:rsidP="00A856BF">
      <w:pPr>
        <w:ind w:left="340"/>
        <w:rPr>
          <w:i/>
        </w:rPr>
      </w:pPr>
      <w:r w:rsidRPr="00A856BF">
        <w:rPr>
          <w:i/>
        </w:rPr>
        <w:t xml:space="preserve">How well do reported levels of student </w:t>
      </w:r>
      <w:proofErr w:type="spellStart"/>
      <w:r w:rsidRPr="00A856BF">
        <w:rPr>
          <w:i/>
        </w:rPr>
        <w:t>Learnline</w:t>
      </w:r>
      <w:proofErr w:type="spellEnd"/>
      <w:r w:rsidRPr="00A856BF">
        <w:rPr>
          <w:i/>
        </w:rPr>
        <w:t xml:space="preserve"> and Collaborate Activity explain the Grade Awarded in a range of Common and Core first year units, when the effects of confounding factors (both observed and unobserved) have been both controlled?</w:t>
      </w:r>
    </w:p>
    <w:p w:rsidR="00091987" w:rsidRPr="00F63B1E" w:rsidRDefault="00091987" w:rsidP="00091987">
      <w:r w:rsidRPr="00F63B1E">
        <w:t xml:space="preserve">Because there are a </w:t>
      </w:r>
      <w:r>
        <w:t>host of other variables that</w:t>
      </w:r>
      <w:r w:rsidRPr="00F63B1E">
        <w:t xml:space="preserve"> are associated with a student’s level of engagement in online activity, this question was addressed in two distinct stages:</w:t>
      </w:r>
      <w:r>
        <w:t xml:space="preserve"> </w:t>
      </w:r>
    </w:p>
    <w:p w:rsidR="00091987" w:rsidRPr="00F63B1E" w:rsidRDefault="00091987" w:rsidP="008209C9">
      <w:pPr>
        <w:pStyle w:val="ListParagraph"/>
        <w:numPr>
          <w:ilvl w:val="0"/>
          <w:numId w:val="5"/>
        </w:numPr>
      </w:pPr>
      <w:r w:rsidRPr="00F63B1E">
        <w:t>Do the associations between online activity and student outcomes, as graphed in the previous section retain their statistical significance, after we adjust for</w:t>
      </w:r>
      <w:r>
        <w:t xml:space="preserve"> </w:t>
      </w:r>
      <w:r w:rsidRPr="00F63B1E">
        <w:t>a range of st</w:t>
      </w:r>
      <w:r>
        <w:t>udent background characteristic</w:t>
      </w:r>
      <w:r w:rsidRPr="00F63B1E">
        <w:t>s, as well as the context of learning e</w:t>
      </w:r>
      <w:r>
        <w:t>.</w:t>
      </w:r>
      <w:r w:rsidRPr="00F63B1E">
        <w:t>g</w:t>
      </w:r>
      <w:r>
        <w:t>.</w:t>
      </w:r>
      <w:r w:rsidRPr="00F63B1E">
        <w:t xml:space="preserve"> the type of first year</w:t>
      </w:r>
      <w:r>
        <w:t xml:space="preserve"> </w:t>
      </w:r>
      <w:r w:rsidRPr="00F63B1E">
        <w:t xml:space="preserve">unit and the mode or attendance? </w:t>
      </w:r>
    </w:p>
    <w:p w:rsidR="00091987" w:rsidRPr="00F63B1E" w:rsidRDefault="00091987" w:rsidP="008209C9">
      <w:pPr>
        <w:pStyle w:val="ListParagraph"/>
        <w:numPr>
          <w:ilvl w:val="0"/>
          <w:numId w:val="5"/>
        </w:numPr>
      </w:pPr>
      <w:r w:rsidRPr="00F63B1E">
        <w:t xml:space="preserve">What causal inferences can we draw from our data and findings, should students have been assigned randomly to different levels of online “treatment” rather than being allowed to self-select their own levels of online engagement? </w:t>
      </w:r>
    </w:p>
    <w:p w:rsidR="00A856BF" w:rsidRDefault="0016459E" w:rsidP="0016459E">
      <w:pPr>
        <w:pStyle w:val="Heading2"/>
      </w:pPr>
      <w:bookmarkStart w:id="10" w:name="_Toc517439485"/>
      <w:r>
        <w:t>Analytical strategy</w:t>
      </w:r>
      <w:bookmarkEnd w:id="10"/>
    </w:p>
    <w:p w:rsidR="00091987" w:rsidRPr="00F63B1E" w:rsidRDefault="00091987" w:rsidP="00091987">
      <w:r w:rsidRPr="00F63B1E">
        <w:t xml:space="preserve">We explored this question in two ways: </w:t>
      </w:r>
    </w:p>
    <w:p w:rsidR="00091987" w:rsidRPr="00F63B1E" w:rsidRDefault="00091987" w:rsidP="008209C9">
      <w:pPr>
        <w:pStyle w:val="ListParagraph"/>
        <w:numPr>
          <w:ilvl w:val="0"/>
          <w:numId w:val="6"/>
        </w:numPr>
      </w:pPr>
      <w:r w:rsidRPr="00F63B1E">
        <w:t>By identifying the strength and significance of the online activity effect on awarded grades by controlling these known and measured student and contextual factors through statistical methods. The most common one, also used here, is that of univariate and multivariate linear regression.</w:t>
      </w:r>
    </w:p>
    <w:p w:rsidR="00091987" w:rsidRPr="00F63B1E" w:rsidRDefault="00091987" w:rsidP="008209C9">
      <w:pPr>
        <w:pStyle w:val="ListParagraph"/>
        <w:numPr>
          <w:ilvl w:val="0"/>
          <w:numId w:val="6"/>
        </w:numPr>
      </w:pPr>
      <w:r w:rsidRPr="00F63B1E">
        <w:t>Since is not possible to make a direct causal inference as tested in a randomised control treatment design (the so-called “gold standard” of evaluation studies), we used recently available counterfactual outcomes or potential out</w:t>
      </w:r>
      <w:r w:rsidR="0016459E">
        <w:t>c</w:t>
      </w:r>
      <w:r w:rsidRPr="00F63B1E">
        <w:t>omes modelling to correct for the biases due to the influence of unobserved effects acting simultaneously on activity levels and on</w:t>
      </w:r>
      <w:r>
        <w:t xml:space="preserve"> </w:t>
      </w:r>
      <w:r w:rsidRPr="00F63B1E">
        <w:t>grade awarded (sometimes called an “endogenous treatment effect”).</w:t>
      </w:r>
    </w:p>
    <w:p w:rsidR="00091987" w:rsidRPr="00F63B1E" w:rsidRDefault="00091987" w:rsidP="008209C9">
      <w:pPr>
        <w:pStyle w:val="ListParagraph"/>
        <w:numPr>
          <w:ilvl w:val="0"/>
          <w:numId w:val="6"/>
        </w:numPr>
      </w:pPr>
      <w:r w:rsidRPr="00F63B1E">
        <w:t>If a significant “endogenous treatment” effect of online activity or participation were to be detected by counterfactual techniques:</w:t>
      </w:r>
      <w:r>
        <w:t xml:space="preserve"> </w:t>
      </w:r>
      <w:r w:rsidRPr="00F63B1E">
        <w:t>(a) how might the sign of the correlation (whether positive or negative) between the source of bias on the outcome be interpreted in causal terms?; (b) what implications would this finding hold for purposes of online educational practice and future research into the effects of online activity on student success?</w:t>
      </w:r>
    </w:p>
    <w:p w:rsidR="0016459E" w:rsidRPr="00F82F4D" w:rsidRDefault="00091987" w:rsidP="00F82F4D">
      <w:pPr>
        <w:rPr>
          <w:b/>
          <w:sz w:val="24"/>
          <w:szCs w:val="24"/>
        </w:rPr>
      </w:pPr>
      <w:r w:rsidRPr="00F82F4D">
        <w:rPr>
          <w:b/>
          <w:sz w:val="24"/>
          <w:szCs w:val="24"/>
        </w:rPr>
        <w:t>Sample and Variables</w:t>
      </w:r>
    </w:p>
    <w:p w:rsidR="00091987" w:rsidRPr="001F4F84" w:rsidRDefault="00091987" w:rsidP="00091987">
      <w:r w:rsidRPr="001F4F84">
        <w:t>Two samples of both external and internal enrolments from Sem. II 2013 through Sem. I 2015 were studied, the first for general Blackboard/</w:t>
      </w:r>
      <w:proofErr w:type="spellStart"/>
      <w:r w:rsidRPr="001F4F84">
        <w:t>Learnline</w:t>
      </w:r>
      <w:proofErr w:type="spellEnd"/>
      <w:r w:rsidRPr="001F4F84">
        <w:t xml:space="preserve"> activity that included all enrolments with at least one access event (n=9,015) and, for the second sample, a limited group of Collaborate (virtual classroom) self-selecting observations (n=3,905). </w:t>
      </w:r>
    </w:p>
    <w:p w:rsidR="00F82F4D" w:rsidRDefault="00F82F4D">
      <w:pPr>
        <w:rPr>
          <w:b/>
          <w:sz w:val="24"/>
          <w:szCs w:val="24"/>
        </w:rPr>
      </w:pPr>
      <w:r>
        <w:rPr>
          <w:b/>
          <w:sz w:val="24"/>
          <w:szCs w:val="24"/>
        </w:rPr>
        <w:br w:type="page"/>
      </w:r>
    </w:p>
    <w:p w:rsidR="0016459E" w:rsidRPr="00F82F4D" w:rsidRDefault="00091987" w:rsidP="00F82F4D">
      <w:pPr>
        <w:rPr>
          <w:b/>
          <w:sz w:val="24"/>
          <w:szCs w:val="24"/>
        </w:rPr>
      </w:pPr>
      <w:r w:rsidRPr="00F82F4D">
        <w:rPr>
          <w:b/>
          <w:sz w:val="24"/>
          <w:szCs w:val="24"/>
        </w:rPr>
        <w:lastRenderedPageBreak/>
        <w:t>Online activity as “treatment”</w:t>
      </w:r>
    </w:p>
    <w:p w:rsidR="0016459E" w:rsidRDefault="0016459E" w:rsidP="0016459E">
      <w:pPr>
        <w:pStyle w:val="Heading4"/>
      </w:pPr>
      <w:r>
        <w:t>Regression Modelling</w:t>
      </w:r>
    </w:p>
    <w:p w:rsidR="00091987" w:rsidRPr="00F63B1E" w:rsidRDefault="00091987" w:rsidP="00091987">
      <w:r w:rsidRPr="00F63B1E">
        <w:t>For the regression modelling</w:t>
      </w:r>
      <w:r w:rsidR="0016459E">
        <w:t>, t</w:t>
      </w:r>
      <w:r w:rsidRPr="00F63B1E">
        <w:t>he “treatment” for both samples were continuous variables constructed from the activity data specific to each mode of engagement.</w:t>
      </w:r>
      <w:r>
        <w:t xml:space="preserve"> </w:t>
      </w:r>
      <w:r w:rsidRPr="00F63B1E">
        <w:t xml:space="preserve">For the </w:t>
      </w:r>
      <w:proofErr w:type="spellStart"/>
      <w:r w:rsidRPr="00F63B1E">
        <w:t>Learnline</w:t>
      </w:r>
      <w:proofErr w:type="spellEnd"/>
      <w:r w:rsidRPr="00F63B1E">
        <w:t xml:space="preserve"> sample, activity was based on the log-transformed aggregated mean deviation scores of online activity recorded over three measured</w:t>
      </w:r>
      <w:r>
        <w:t xml:space="preserve"> </w:t>
      </w:r>
      <w:r w:rsidRPr="00F63B1E">
        <w:t>activities: the number of accesses or “hits”,</w:t>
      </w:r>
      <w:r>
        <w:t xml:space="preserve"> </w:t>
      </w:r>
      <w:r w:rsidRPr="00F63B1E">
        <w:t>the number of “clicks” online, and the total minutes online. For the Collaborate sample, participation scores were</w:t>
      </w:r>
      <w:r>
        <w:t xml:space="preserve"> </w:t>
      </w:r>
      <w:r w:rsidRPr="00F63B1E">
        <w:t>based on the</w:t>
      </w:r>
      <w:r>
        <w:t xml:space="preserve"> </w:t>
      </w:r>
      <w:r w:rsidRPr="00F63B1E">
        <w:t>percentage of available sessions attended and recordings viewed. (Figs.2(a) and 2(b);</w:t>
      </w:r>
      <w:r>
        <w:t xml:space="preserve"> </w:t>
      </w:r>
      <w:r w:rsidRPr="00F63B1E">
        <w:t>Appendix Tables A.2 &amp; A.3).</w:t>
      </w:r>
    </w:p>
    <w:p w:rsidR="0016459E" w:rsidRDefault="0016459E" w:rsidP="0016459E">
      <w:pPr>
        <w:pStyle w:val="Heading4"/>
      </w:pPr>
      <w:r>
        <w:t>Counterfactual modelling</w:t>
      </w:r>
    </w:p>
    <w:p w:rsidR="00091987" w:rsidRPr="00F63B1E" w:rsidRDefault="0016459E" w:rsidP="00091987">
      <w:r>
        <w:t>For counterfactual modelling, i</w:t>
      </w:r>
      <w:r w:rsidR="00091987" w:rsidRPr="00F63B1E">
        <w:t xml:space="preserve">n order to create a binary treatment assignment effect, the log-transformed </w:t>
      </w:r>
      <w:proofErr w:type="spellStart"/>
      <w:r w:rsidR="00091987" w:rsidRPr="00F63B1E">
        <w:t>Learnline</w:t>
      </w:r>
      <w:proofErr w:type="spellEnd"/>
      <w:r w:rsidR="00091987" w:rsidRPr="00F63B1E">
        <w:t xml:space="preserve"> scores</w:t>
      </w:r>
      <w:r w:rsidR="00091987">
        <w:t xml:space="preserve"> </w:t>
      </w:r>
      <w:r w:rsidR="00091987" w:rsidRPr="00F63B1E">
        <w:t>below the mean of zero were scored as “untreated” (</w:t>
      </w:r>
      <w:proofErr w:type="spellStart"/>
      <w:r w:rsidR="00091987" w:rsidRPr="00F63B1E">
        <w:t>ie</w:t>
      </w:r>
      <w:proofErr w:type="spellEnd"/>
      <w:r w:rsidR="00091987" w:rsidRPr="00F63B1E">
        <w:t xml:space="preserve"> “0” , those above as “treated (“1”). For the Collaborate sample, the lowest quartile</w:t>
      </w:r>
      <w:r w:rsidR="00091987">
        <w:t xml:space="preserve"> </w:t>
      </w:r>
      <w:r w:rsidR="00091987" w:rsidRPr="00F63B1E">
        <w:t>of the log-transformed participation scores were similarly defined as “untreated” (scored “0”), while the three upper quartiles were defined as “treated” (1”).</w:t>
      </w:r>
    </w:p>
    <w:p w:rsidR="00091987" w:rsidRPr="00F63B1E" w:rsidRDefault="00091987" w:rsidP="0016459E">
      <w:r w:rsidRPr="0016459E">
        <w:rPr>
          <w:b/>
        </w:rPr>
        <w:t>Covariates</w:t>
      </w:r>
      <w:r w:rsidR="0016459E" w:rsidRPr="0016459E">
        <w:rPr>
          <w:b/>
        </w:rPr>
        <w:t>:</w:t>
      </w:r>
      <w:r w:rsidR="0016459E">
        <w:t xml:space="preserve"> </w:t>
      </w:r>
      <w:r w:rsidRPr="00F63B1E">
        <w:t>Student-specific covariates were selected</w:t>
      </w:r>
      <w:r>
        <w:t xml:space="preserve"> </w:t>
      </w:r>
      <w:r w:rsidRPr="00F63B1E">
        <w:t>by a previous stepwise regression procedure</w:t>
      </w:r>
      <w:r>
        <w:t xml:space="preserve"> </w:t>
      </w:r>
      <w:r w:rsidRPr="00F63B1E">
        <w:t>(Male Gender, Age, NESB,</w:t>
      </w:r>
      <w:r>
        <w:t xml:space="preserve"> </w:t>
      </w:r>
      <w:r w:rsidRPr="00F63B1E">
        <w:t xml:space="preserve">the presence of an ATAR (Tertiary Entrance) scored also as a dummy variable, four Bases of Admission as dummy variables in the “treatment” equation, and two in the outcome equation . Also included </w:t>
      </w:r>
      <w:r>
        <w:t>was</w:t>
      </w:r>
      <w:r w:rsidRPr="00F63B1E">
        <w:t xml:space="preserve"> a four-category combination of pedagogic modes (external/ internal attendance) by unit type (Common or Core).</w:t>
      </w:r>
    </w:p>
    <w:p w:rsidR="00091987" w:rsidRPr="00F63B1E" w:rsidRDefault="00091987" w:rsidP="00091987">
      <w:r w:rsidRPr="0016459E">
        <w:rPr>
          <w:b/>
        </w:rPr>
        <w:t>Outcome measure</w:t>
      </w:r>
      <w:r w:rsidRPr="00F63B1E">
        <w:t xml:space="preserve"> was the raw numerical grade score - range 3 (Pass Conceded) to 7 (High Distinction) whose distribution is shown in Fig. 2 for both samples. </w:t>
      </w:r>
    </w:p>
    <w:p w:rsidR="00091987" w:rsidRPr="00577B1A" w:rsidRDefault="007E0898" w:rsidP="007E0898">
      <w:pPr>
        <w:pStyle w:val="Heading2"/>
      </w:pPr>
      <w:bookmarkStart w:id="11" w:name="_Toc517439486"/>
      <w:r>
        <w:t xml:space="preserve">1. </w:t>
      </w:r>
      <w:r w:rsidR="00091987" w:rsidRPr="00577B1A">
        <w:t>Predicting Success: Estimating the Online Activity Effect by Regression Modelling</w:t>
      </w:r>
      <w:bookmarkEnd w:id="11"/>
    </w:p>
    <w:p w:rsidR="00091987" w:rsidRDefault="00091987" w:rsidP="00091987">
      <w:r w:rsidRPr="00F63B1E">
        <w:t>The following model (Fig. 1) puts the first question in the form of a multivariate regression model. This model allows us to isolate the effe</w:t>
      </w:r>
      <w:r>
        <w:t xml:space="preserve">ct of online Activity for both </w:t>
      </w:r>
      <w:proofErr w:type="spellStart"/>
      <w:r>
        <w:t>L</w:t>
      </w:r>
      <w:r w:rsidRPr="00F63B1E">
        <w:t>earnline</w:t>
      </w:r>
      <w:proofErr w:type="spellEnd"/>
      <w:r w:rsidRPr="00F63B1E">
        <w:t xml:space="preserve"> and Collaborate samples (the red arrow).</w:t>
      </w:r>
    </w:p>
    <w:p w:rsidR="00091987" w:rsidRPr="008D5FAB" w:rsidRDefault="00091987" w:rsidP="00091987">
      <w:pPr>
        <w:jc w:val="center"/>
        <w:rPr>
          <w:b/>
          <w:noProof/>
        </w:rPr>
      </w:pPr>
      <w:r w:rsidRPr="008D5FAB">
        <w:rPr>
          <w:b/>
          <w:noProof/>
        </w:rPr>
        <w:t>Fig. 1 Estimating the Effect of Learnline Activity in Predictive Context: A Regression Model</w:t>
      </w:r>
    </w:p>
    <w:p w:rsidR="00091987" w:rsidRDefault="00091987" w:rsidP="00091987">
      <w:pPr>
        <w:jc w:val="center"/>
        <w:rPr>
          <w:noProof/>
        </w:rPr>
      </w:pPr>
      <w:r>
        <w:rPr>
          <w:noProof/>
          <w:lang w:eastAsia="en-AU"/>
        </w:rPr>
        <w:drawing>
          <wp:inline distT="0" distB="0" distL="0" distR="0" wp14:anchorId="17DC5300" wp14:editId="7A68F4C6">
            <wp:extent cx="4461933" cy="2475038"/>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61933" cy="2475038"/>
                    </a:xfrm>
                    <a:prstGeom prst="rect">
                      <a:avLst/>
                    </a:prstGeom>
                  </pic:spPr>
                </pic:pic>
              </a:graphicData>
            </a:graphic>
          </wp:inline>
        </w:drawing>
      </w:r>
    </w:p>
    <w:p w:rsidR="00091987" w:rsidRPr="00577B1A" w:rsidRDefault="00091987" w:rsidP="00091987">
      <w:r w:rsidRPr="00577B1A">
        <w:t xml:space="preserve">Analytical Strategy: Regression Analysis – Bivariate and Multivariate :  For a benchmark estimation, we first looked at the effect of each online category, using </w:t>
      </w:r>
      <w:proofErr w:type="spellStart"/>
      <w:r w:rsidRPr="00577B1A">
        <w:t>Ordinarly</w:t>
      </w:r>
      <w:proofErr w:type="spellEnd"/>
      <w:r w:rsidRPr="00577B1A">
        <w:t xml:space="preserve"> Least Squares  regression of  the numerical grade awarded, on a binary measure of online activity/ participation as a single independent variable (Stata regress with robust </w:t>
      </w:r>
      <w:r w:rsidRPr="00577B1A">
        <w:lastRenderedPageBreak/>
        <w:t xml:space="preserve">option), without adjustment for either pedagogic context or individual student socio-demographic. The results are displayed in Table 1 and in Figures 2(a) for </w:t>
      </w:r>
      <w:proofErr w:type="spellStart"/>
      <w:r w:rsidRPr="00577B1A">
        <w:t>Learnline</w:t>
      </w:r>
      <w:proofErr w:type="spellEnd"/>
      <w:r w:rsidRPr="00577B1A">
        <w:t xml:space="preserve"> Activity and 2(b) </w:t>
      </w:r>
    </w:p>
    <w:p w:rsidR="00091987" w:rsidRDefault="00091987" w:rsidP="007E0898">
      <w:pPr>
        <w:pStyle w:val="TableofFigures"/>
        <w:spacing w:after="0"/>
        <w:ind w:left="0"/>
      </w:pPr>
      <w:bookmarkStart w:id="12" w:name="_Toc517439506"/>
      <w:r w:rsidRPr="00BE52F3">
        <w:t xml:space="preserve">Table 1 </w:t>
      </w:r>
      <w:r>
        <w:t xml:space="preserve">Marginal </w:t>
      </w:r>
      <w:r w:rsidRPr="00BE52F3">
        <w:t xml:space="preserve">Numerical Grade Scores </w:t>
      </w:r>
      <w:r>
        <w:t xml:space="preserve">and Gains </w:t>
      </w:r>
      <w:r w:rsidRPr="00BE52F3">
        <w:t xml:space="preserve">by Online </w:t>
      </w:r>
      <w:r>
        <w:t>Activity Group and Activity Type</w:t>
      </w:r>
      <w:bookmarkEnd w:id="12"/>
    </w:p>
    <w:p w:rsidR="00091987" w:rsidRDefault="00091987" w:rsidP="0016459E">
      <w:pPr>
        <w:pStyle w:val="TableofFigures"/>
        <w:ind w:left="0"/>
      </w:pPr>
      <w:bookmarkStart w:id="13" w:name="_Toc517439507"/>
      <w:r>
        <w:t>(</w:t>
      </w:r>
      <w:r w:rsidRPr="00693A0A">
        <w:t xml:space="preserve">Unadjusted scores; </w:t>
      </w:r>
      <w:proofErr w:type="spellStart"/>
      <w:r w:rsidRPr="00693A0A">
        <w:t>Learnline</w:t>
      </w:r>
      <w:proofErr w:type="spellEnd"/>
      <w:r w:rsidRPr="00693A0A">
        <w:t xml:space="preserve"> n= </w:t>
      </w:r>
      <w:r w:rsidRPr="00693A0A">
        <w:rPr>
          <w:noProof/>
        </w:rPr>
        <w:t>9,015; Collaborate n=3,905)</w:t>
      </w:r>
      <w:bookmarkEnd w:id="13"/>
    </w:p>
    <w:tbl>
      <w:tblPr>
        <w:tblW w:w="9638" w:type="dxa"/>
        <w:tblLook w:val="04A0" w:firstRow="1" w:lastRow="0" w:firstColumn="1" w:lastColumn="0" w:noHBand="0" w:noVBand="1"/>
      </w:tblPr>
      <w:tblGrid>
        <w:gridCol w:w="3261"/>
        <w:gridCol w:w="872"/>
        <w:gridCol w:w="1160"/>
        <w:gridCol w:w="1160"/>
        <w:gridCol w:w="917"/>
        <w:gridCol w:w="1205"/>
        <w:gridCol w:w="6"/>
        <w:gridCol w:w="1199"/>
      </w:tblGrid>
      <w:tr w:rsidR="00091987" w:rsidRPr="00652162" w:rsidTr="00691C36">
        <w:trPr>
          <w:trHeight w:val="300"/>
        </w:trPr>
        <w:tc>
          <w:tcPr>
            <w:tcW w:w="3261" w:type="dxa"/>
            <w:tcBorders>
              <w:top w:val="nil"/>
              <w:left w:val="nil"/>
              <w:bottom w:val="nil"/>
              <w:right w:val="nil"/>
            </w:tcBorders>
            <w:shd w:val="clear" w:color="D9D9D9" w:fill="D9D9D9"/>
            <w:noWrap/>
            <w:vAlign w:val="bottom"/>
            <w:hideMark/>
          </w:tcPr>
          <w:p w:rsidR="00091987" w:rsidRPr="00EB52DB" w:rsidRDefault="00091987" w:rsidP="00691C36">
            <w:pPr>
              <w:spacing w:after="0" w:line="240" w:lineRule="auto"/>
              <w:rPr>
                <w:rFonts w:ascii="Calibri" w:eastAsia="Times New Roman" w:hAnsi="Calibri" w:cs="Times New Roman"/>
                <w:b/>
                <w:bCs/>
                <w:i/>
                <w:color w:val="000000"/>
                <w:lang w:eastAsia="en-AU"/>
              </w:rPr>
            </w:pPr>
            <w:proofErr w:type="spellStart"/>
            <w:r w:rsidRPr="00EB52DB">
              <w:rPr>
                <w:rFonts w:ascii="Calibri" w:eastAsia="Times New Roman" w:hAnsi="Calibri" w:cs="Times New Roman"/>
                <w:b/>
                <w:bCs/>
                <w:i/>
                <w:color w:val="000000"/>
                <w:lang w:eastAsia="en-AU"/>
              </w:rPr>
              <w:t>Learnline</w:t>
            </w:r>
            <w:proofErr w:type="spellEnd"/>
            <w:r w:rsidRPr="00EB52DB">
              <w:rPr>
                <w:rFonts w:ascii="Calibri" w:eastAsia="Times New Roman" w:hAnsi="Calibri" w:cs="Times New Roman"/>
                <w:b/>
                <w:bCs/>
                <w:i/>
                <w:color w:val="000000"/>
                <w:lang w:eastAsia="en-AU"/>
              </w:rPr>
              <w:t xml:space="preserve"> </w:t>
            </w:r>
            <w:r>
              <w:rPr>
                <w:rFonts w:ascii="Calibri" w:eastAsia="Times New Roman" w:hAnsi="Calibri" w:cs="Times New Roman"/>
                <w:b/>
                <w:bCs/>
                <w:i/>
                <w:color w:val="000000"/>
                <w:lang w:eastAsia="en-AU"/>
              </w:rPr>
              <w:t>Activity</w:t>
            </w:r>
          </w:p>
        </w:tc>
        <w:tc>
          <w:tcPr>
            <w:tcW w:w="73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b/>
                <w:bCs/>
                <w:color w:val="000000"/>
                <w:lang w:eastAsia="en-AU"/>
              </w:rPr>
            </w:pPr>
            <w:r w:rsidRPr="00652162">
              <w:rPr>
                <w:rFonts w:ascii="Calibri" w:eastAsia="Times New Roman" w:hAnsi="Calibri" w:cs="Times New Roman"/>
                <w:b/>
                <w:bCs/>
                <w:color w:val="000000"/>
                <w:lang w:eastAsia="en-AU"/>
              </w:rPr>
              <w:t>Margin</w:t>
            </w:r>
          </w:p>
        </w:tc>
        <w:tc>
          <w:tcPr>
            <w:tcW w:w="116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b/>
                <w:bCs/>
                <w:color w:val="000000"/>
                <w:lang w:eastAsia="en-AU"/>
              </w:rPr>
            </w:pPr>
            <w:r w:rsidRPr="00652162">
              <w:rPr>
                <w:rFonts w:ascii="Calibri" w:eastAsia="Times New Roman" w:hAnsi="Calibri" w:cs="Times New Roman"/>
                <w:b/>
                <w:bCs/>
                <w:color w:val="000000"/>
                <w:lang w:eastAsia="en-AU"/>
              </w:rPr>
              <w:t>Std. Err.</w:t>
            </w:r>
          </w:p>
        </w:tc>
        <w:tc>
          <w:tcPr>
            <w:tcW w:w="116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b/>
                <w:bCs/>
                <w:color w:val="000000"/>
                <w:lang w:eastAsia="en-AU"/>
              </w:rPr>
            </w:pPr>
            <w:r w:rsidRPr="00652162">
              <w:rPr>
                <w:rFonts w:ascii="Calibri" w:eastAsia="Times New Roman" w:hAnsi="Calibri" w:cs="Times New Roman"/>
                <w:b/>
                <w:bCs/>
                <w:color w:val="000000"/>
                <w:lang w:eastAsia="en-AU"/>
              </w:rPr>
              <w:t>t</w:t>
            </w:r>
          </w:p>
        </w:tc>
        <w:tc>
          <w:tcPr>
            <w:tcW w:w="917"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b/>
                <w:bCs/>
                <w:color w:val="000000"/>
                <w:lang w:eastAsia="en-AU"/>
              </w:rPr>
            </w:pPr>
            <w:r w:rsidRPr="00652162">
              <w:rPr>
                <w:rFonts w:ascii="Calibri" w:eastAsia="Times New Roman" w:hAnsi="Calibri" w:cs="Times New Roman"/>
                <w:b/>
                <w:bCs/>
                <w:color w:val="000000"/>
                <w:lang w:eastAsia="en-AU"/>
              </w:rPr>
              <w:t>P&gt;t</w:t>
            </w:r>
          </w:p>
        </w:tc>
        <w:tc>
          <w:tcPr>
            <w:tcW w:w="1205"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rPr>
                <w:rFonts w:ascii="Calibri" w:eastAsia="Times New Roman" w:hAnsi="Calibri" w:cs="Times New Roman"/>
                <w:b/>
                <w:bCs/>
                <w:color w:val="000000"/>
                <w:lang w:eastAsia="en-AU"/>
              </w:rPr>
            </w:pPr>
            <w:r w:rsidRPr="00652162">
              <w:rPr>
                <w:rFonts w:ascii="Calibri" w:eastAsia="Times New Roman" w:hAnsi="Calibri" w:cs="Times New Roman"/>
                <w:b/>
                <w:bCs/>
                <w:color w:val="000000"/>
                <w:lang w:eastAsia="en-AU"/>
              </w:rPr>
              <w:t>[95% Conf.</w:t>
            </w:r>
          </w:p>
        </w:tc>
        <w:tc>
          <w:tcPr>
            <w:tcW w:w="1205" w:type="dxa"/>
            <w:gridSpan w:val="2"/>
            <w:tcBorders>
              <w:top w:val="nil"/>
              <w:left w:val="nil"/>
              <w:bottom w:val="nil"/>
              <w:right w:val="nil"/>
            </w:tcBorders>
            <w:shd w:val="clear" w:color="D9D9D9" w:fill="D9D9D9"/>
            <w:vAlign w:val="bottom"/>
          </w:tcPr>
          <w:p w:rsidR="00091987" w:rsidRPr="00652162" w:rsidRDefault="00091987" w:rsidP="00691C36">
            <w:pPr>
              <w:spacing w:after="0" w:line="240" w:lineRule="auto"/>
              <w:rPr>
                <w:rFonts w:ascii="Calibri" w:eastAsia="Times New Roman" w:hAnsi="Calibri" w:cs="Times New Roman"/>
                <w:b/>
                <w:bCs/>
                <w:color w:val="000000"/>
                <w:lang w:eastAsia="en-AU"/>
              </w:rPr>
            </w:pPr>
            <w:r w:rsidRPr="00652162">
              <w:rPr>
                <w:rFonts w:ascii="Calibri" w:eastAsia="Times New Roman" w:hAnsi="Calibri" w:cs="Times New Roman"/>
                <w:b/>
                <w:bCs/>
                <w:color w:val="000000"/>
                <w:lang w:eastAsia="en-AU"/>
              </w:rPr>
              <w:t>Interval]</w:t>
            </w:r>
          </w:p>
        </w:tc>
      </w:tr>
      <w:tr w:rsidR="00091987" w:rsidRPr="00652162" w:rsidTr="00691C36">
        <w:trPr>
          <w:trHeight w:val="300"/>
        </w:trPr>
        <w:tc>
          <w:tcPr>
            <w:tcW w:w="3261"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 xml:space="preserve">Lower </w:t>
            </w:r>
            <w:r>
              <w:rPr>
                <w:rFonts w:ascii="Calibri" w:eastAsia="Times New Roman" w:hAnsi="Calibri" w:cs="Times New Roman"/>
                <w:color w:val="000000"/>
                <w:lang w:eastAsia="en-AU"/>
              </w:rPr>
              <w:t>Activity</w:t>
            </w:r>
            <w:r w:rsidRPr="00652162">
              <w:rPr>
                <w:rFonts w:ascii="Calibri" w:eastAsia="Times New Roman" w:hAnsi="Calibri" w:cs="Times New Roman"/>
                <w:color w:val="000000"/>
                <w:lang w:eastAsia="en-AU"/>
              </w:rPr>
              <w:t xml:space="preserve"> ("Untreated")</w:t>
            </w:r>
          </w:p>
        </w:tc>
        <w:tc>
          <w:tcPr>
            <w:tcW w:w="73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4.665</w:t>
            </w:r>
          </w:p>
        </w:tc>
        <w:tc>
          <w:tcPr>
            <w:tcW w:w="116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0.018</w:t>
            </w:r>
          </w:p>
        </w:tc>
        <w:tc>
          <w:tcPr>
            <w:tcW w:w="116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252.410</w:t>
            </w:r>
          </w:p>
        </w:tc>
        <w:tc>
          <w:tcPr>
            <w:tcW w:w="917"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0.000</w:t>
            </w:r>
          </w:p>
        </w:tc>
        <w:tc>
          <w:tcPr>
            <w:tcW w:w="1211" w:type="dxa"/>
            <w:gridSpan w:val="2"/>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4.629</w:t>
            </w:r>
          </w:p>
        </w:tc>
        <w:tc>
          <w:tcPr>
            <w:tcW w:w="1199"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4.702</w:t>
            </w:r>
          </w:p>
        </w:tc>
      </w:tr>
      <w:tr w:rsidR="00091987" w:rsidRPr="00652162" w:rsidTr="00691C36">
        <w:trPr>
          <w:trHeight w:val="300"/>
        </w:trPr>
        <w:tc>
          <w:tcPr>
            <w:tcW w:w="3261"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 xml:space="preserve">Higher </w:t>
            </w:r>
            <w:r>
              <w:rPr>
                <w:rFonts w:ascii="Calibri" w:eastAsia="Times New Roman" w:hAnsi="Calibri" w:cs="Times New Roman"/>
                <w:color w:val="000000"/>
                <w:lang w:eastAsia="en-AU"/>
              </w:rPr>
              <w:t>Activity</w:t>
            </w:r>
            <w:r w:rsidRPr="00652162">
              <w:rPr>
                <w:rFonts w:ascii="Calibri" w:eastAsia="Times New Roman" w:hAnsi="Calibri" w:cs="Times New Roman"/>
                <w:color w:val="000000"/>
                <w:lang w:eastAsia="en-AU"/>
              </w:rPr>
              <w:t xml:space="preserve"> ("Treated")</w:t>
            </w:r>
          </w:p>
        </w:tc>
        <w:tc>
          <w:tcPr>
            <w:tcW w:w="73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5.265</w:t>
            </w:r>
          </w:p>
        </w:tc>
        <w:tc>
          <w:tcPr>
            <w:tcW w:w="116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0.013</w:t>
            </w:r>
          </w:p>
        </w:tc>
        <w:tc>
          <w:tcPr>
            <w:tcW w:w="116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401.560</w:t>
            </w:r>
          </w:p>
        </w:tc>
        <w:tc>
          <w:tcPr>
            <w:tcW w:w="917"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0.000</w:t>
            </w:r>
          </w:p>
        </w:tc>
        <w:tc>
          <w:tcPr>
            <w:tcW w:w="1211" w:type="dxa"/>
            <w:gridSpan w:val="2"/>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5.239</w:t>
            </w:r>
          </w:p>
        </w:tc>
        <w:tc>
          <w:tcPr>
            <w:tcW w:w="1199"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5.291</w:t>
            </w:r>
          </w:p>
        </w:tc>
      </w:tr>
      <w:tr w:rsidR="00091987" w:rsidRPr="00652162" w:rsidTr="00691C36">
        <w:trPr>
          <w:trHeight w:val="300"/>
        </w:trPr>
        <w:tc>
          <w:tcPr>
            <w:tcW w:w="3261"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rPr>
                <w:rFonts w:ascii="Calibri" w:eastAsia="Times New Roman" w:hAnsi="Calibri" w:cs="Times New Roman"/>
                <w:b/>
                <w:bCs/>
                <w:color w:val="000000"/>
                <w:lang w:eastAsia="en-AU"/>
              </w:rPr>
            </w:pPr>
            <w:r w:rsidRPr="00652162">
              <w:rPr>
                <w:rFonts w:ascii="Calibri" w:eastAsia="Times New Roman" w:hAnsi="Calibri" w:cs="Times New Roman"/>
                <w:b/>
                <w:bCs/>
                <w:color w:val="000000"/>
                <w:lang w:eastAsia="en-AU"/>
              </w:rPr>
              <w:t>H</w:t>
            </w:r>
            <w:r>
              <w:rPr>
                <w:rFonts w:ascii="Calibri" w:eastAsia="Times New Roman" w:hAnsi="Calibri" w:cs="Times New Roman"/>
                <w:b/>
                <w:bCs/>
                <w:color w:val="000000"/>
                <w:lang w:eastAsia="en-AU"/>
              </w:rPr>
              <w:t>igher vs Lower Activity</w:t>
            </w:r>
          </w:p>
        </w:tc>
        <w:tc>
          <w:tcPr>
            <w:tcW w:w="73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0.600</w:t>
            </w:r>
          </w:p>
        </w:tc>
        <w:tc>
          <w:tcPr>
            <w:tcW w:w="116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0.023</w:t>
            </w:r>
          </w:p>
        </w:tc>
        <w:tc>
          <w:tcPr>
            <w:tcW w:w="116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25.940</w:t>
            </w:r>
          </w:p>
        </w:tc>
        <w:tc>
          <w:tcPr>
            <w:tcW w:w="917"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0.000</w:t>
            </w:r>
          </w:p>
        </w:tc>
        <w:tc>
          <w:tcPr>
            <w:tcW w:w="1211" w:type="dxa"/>
            <w:gridSpan w:val="2"/>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0.554</w:t>
            </w:r>
          </w:p>
        </w:tc>
        <w:tc>
          <w:tcPr>
            <w:tcW w:w="1199"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0.645</w:t>
            </w:r>
          </w:p>
        </w:tc>
      </w:tr>
      <w:tr w:rsidR="00091987" w:rsidRPr="00652162" w:rsidTr="00691C36">
        <w:trPr>
          <w:trHeight w:val="300"/>
        </w:trPr>
        <w:tc>
          <w:tcPr>
            <w:tcW w:w="3261"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rPr>
                <w:rFonts w:ascii="Calibri" w:eastAsia="Times New Roman" w:hAnsi="Calibri" w:cs="Times New Roman"/>
                <w:b/>
                <w:bCs/>
                <w:i/>
                <w:iCs/>
                <w:color w:val="000000"/>
                <w:lang w:eastAsia="en-AU"/>
              </w:rPr>
            </w:pPr>
            <w:proofErr w:type="spellStart"/>
            <w:r w:rsidRPr="00652162">
              <w:rPr>
                <w:rFonts w:ascii="Calibri" w:eastAsia="Times New Roman" w:hAnsi="Calibri" w:cs="Times New Roman"/>
                <w:b/>
                <w:bCs/>
                <w:i/>
                <w:iCs/>
                <w:color w:val="000000"/>
                <w:lang w:eastAsia="en-AU"/>
              </w:rPr>
              <w:t>Collorate</w:t>
            </w:r>
            <w:proofErr w:type="spellEnd"/>
            <w:r w:rsidRPr="00652162">
              <w:rPr>
                <w:rFonts w:ascii="Calibri" w:eastAsia="Times New Roman" w:hAnsi="Calibri" w:cs="Times New Roman"/>
                <w:b/>
                <w:bCs/>
                <w:i/>
                <w:iCs/>
                <w:color w:val="000000"/>
                <w:lang w:eastAsia="en-AU"/>
              </w:rPr>
              <w:t xml:space="preserve"> </w:t>
            </w:r>
            <w:r>
              <w:rPr>
                <w:rFonts w:ascii="Calibri" w:eastAsia="Times New Roman" w:hAnsi="Calibri" w:cs="Times New Roman"/>
                <w:b/>
                <w:bCs/>
                <w:i/>
                <w:iCs/>
                <w:color w:val="000000"/>
                <w:lang w:eastAsia="en-AU"/>
              </w:rPr>
              <w:t>Participation</w:t>
            </w:r>
          </w:p>
        </w:tc>
        <w:tc>
          <w:tcPr>
            <w:tcW w:w="73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rPr>
                <w:rFonts w:ascii="Calibri" w:eastAsia="Times New Roman" w:hAnsi="Calibri" w:cs="Times New Roman"/>
                <w:b/>
                <w:bCs/>
                <w:i/>
                <w:iCs/>
                <w:color w:val="000000"/>
                <w:lang w:eastAsia="en-AU"/>
              </w:rPr>
            </w:pPr>
          </w:p>
        </w:tc>
        <w:tc>
          <w:tcPr>
            <w:tcW w:w="116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Times New Roman" w:eastAsia="Times New Roman" w:hAnsi="Times New Roman" w:cs="Times New Roman"/>
                <w:sz w:val="20"/>
                <w:szCs w:val="20"/>
                <w:lang w:eastAsia="en-AU"/>
              </w:rPr>
            </w:pPr>
          </w:p>
        </w:tc>
        <w:tc>
          <w:tcPr>
            <w:tcW w:w="917"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Times New Roman" w:eastAsia="Times New Roman" w:hAnsi="Times New Roman" w:cs="Times New Roman"/>
                <w:sz w:val="20"/>
                <w:szCs w:val="20"/>
                <w:lang w:eastAsia="en-AU"/>
              </w:rPr>
            </w:pPr>
          </w:p>
        </w:tc>
        <w:tc>
          <w:tcPr>
            <w:tcW w:w="1211" w:type="dxa"/>
            <w:gridSpan w:val="2"/>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Times New Roman" w:eastAsia="Times New Roman" w:hAnsi="Times New Roman" w:cs="Times New Roman"/>
                <w:sz w:val="20"/>
                <w:szCs w:val="20"/>
                <w:lang w:eastAsia="en-AU"/>
              </w:rPr>
            </w:pPr>
          </w:p>
        </w:tc>
        <w:tc>
          <w:tcPr>
            <w:tcW w:w="1199"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Times New Roman" w:eastAsia="Times New Roman" w:hAnsi="Times New Roman" w:cs="Times New Roman"/>
                <w:sz w:val="20"/>
                <w:szCs w:val="20"/>
                <w:lang w:eastAsia="en-AU"/>
              </w:rPr>
            </w:pPr>
          </w:p>
        </w:tc>
      </w:tr>
      <w:tr w:rsidR="00091987" w:rsidRPr="00652162" w:rsidTr="00691C36">
        <w:trPr>
          <w:trHeight w:val="300"/>
        </w:trPr>
        <w:tc>
          <w:tcPr>
            <w:tcW w:w="3261"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Lower Pa</w:t>
            </w:r>
            <w:r w:rsidRPr="00652162">
              <w:rPr>
                <w:rFonts w:ascii="Calibri" w:eastAsia="Times New Roman" w:hAnsi="Calibri" w:cs="Times New Roman"/>
                <w:color w:val="000000"/>
                <w:lang w:eastAsia="en-AU"/>
              </w:rPr>
              <w:t>rticipation("Untreated")</w:t>
            </w:r>
          </w:p>
        </w:tc>
        <w:tc>
          <w:tcPr>
            <w:tcW w:w="73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5.045</w:t>
            </w:r>
          </w:p>
        </w:tc>
        <w:tc>
          <w:tcPr>
            <w:tcW w:w="116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0.033</w:t>
            </w:r>
          </w:p>
        </w:tc>
        <w:tc>
          <w:tcPr>
            <w:tcW w:w="1160"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153.850</w:t>
            </w:r>
          </w:p>
        </w:tc>
        <w:tc>
          <w:tcPr>
            <w:tcW w:w="917"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0.000</w:t>
            </w:r>
          </w:p>
        </w:tc>
        <w:tc>
          <w:tcPr>
            <w:tcW w:w="1211" w:type="dxa"/>
            <w:gridSpan w:val="2"/>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4.980</w:t>
            </w:r>
          </w:p>
        </w:tc>
        <w:tc>
          <w:tcPr>
            <w:tcW w:w="1199" w:type="dxa"/>
            <w:tcBorders>
              <w:top w:val="nil"/>
              <w:left w:val="nil"/>
              <w:bottom w:val="nil"/>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5.109</w:t>
            </w:r>
          </w:p>
        </w:tc>
      </w:tr>
      <w:tr w:rsidR="00091987" w:rsidRPr="00652162" w:rsidTr="00691C36">
        <w:trPr>
          <w:trHeight w:val="300"/>
        </w:trPr>
        <w:tc>
          <w:tcPr>
            <w:tcW w:w="3261"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 xml:space="preserve">Higher </w:t>
            </w:r>
            <w:r>
              <w:rPr>
                <w:rFonts w:ascii="Calibri" w:eastAsia="Times New Roman" w:hAnsi="Calibri" w:cs="Times New Roman"/>
                <w:color w:val="000000"/>
                <w:lang w:eastAsia="en-AU"/>
              </w:rPr>
              <w:t>Participation</w:t>
            </w:r>
            <w:r w:rsidRPr="00652162">
              <w:rPr>
                <w:rFonts w:ascii="Calibri" w:eastAsia="Times New Roman" w:hAnsi="Calibri" w:cs="Times New Roman"/>
                <w:color w:val="000000"/>
                <w:lang w:eastAsia="en-AU"/>
              </w:rPr>
              <w:t xml:space="preserve">  ("Treated")</w:t>
            </w:r>
          </w:p>
        </w:tc>
        <w:tc>
          <w:tcPr>
            <w:tcW w:w="73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5.394</w:t>
            </w:r>
          </w:p>
        </w:tc>
        <w:tc>
          <w:tcPr>
            <w:tcW w:w="116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0.019</w:t>
            </w:r>
          </w:p>
        </w:tc>
        <w:tc>
          <w:tcPr>
            <w:tcW w:w="1160"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290.400</w:t>
            </w:r>
          </w:p>
        </w:tc>
        <w:tc>
          <w:tcPr>
            <w:tcW w:w="917"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0.000</w:t>
            </w:r>
          </w:p>
        </w:tc>
        <w:tc>
          <w:tcPr>
            <w:tcW w:w="1211" w:type="dxa"/>
            <w:gridSpan w:val="2"/>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5.358</w:t>
            </w:r>
          </w:p>
        </w:tc>
        <w:tc>
          <w:tcPr>
            <w:tcW w:w="1199" w:type="dxa"/>
            <w:tcBorders>
              <w:top w:val="nil"/>
              <w:left w:val="nil"/>
              <w:bottom w:val="nil"/>
              <w:right w:val="nil"/>
            </w:tcBorders>
            <w:shd w:val="clear" w:color="D9D9D9" w:fill="D9D9D9"/>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5.430</w:t>
            </w:r>
          </w:p>
        </w:tc>
      </w:tr>
      <w:tr w:rsidR="00091987" w:rsidRPr="00652162" w:rsidTr="00691C36">
        <w:trPr>
          <w:trHeight w:val="300"/>
        </w:trPr>
        <w:tc>
          <w:tcPr>
            <w:tcW w:w="3261" w:type="dxa"/>
            <w:tcBorders>
              <w:top w:val="nil"/>
              <w:left w:val="nil"/>
              <w:bottom w:val="single" w:sz="4" w:space="0" w:color="000000"/>
              <w:right w:val="nil"/>
            </w:tcBorders>
            <w:shd w:val="clear" w:color="auto" w:fill="auto"/>
            <w:noWrap/>
            <w:vAlign w:val="bottom"/>
            <w:hideMark/>
          </w:tcPr>
          <w:p w:rsidR="00091987" w:rsidRPr="00652162" w:rsidRDefault="00091987" w:rsidP="00691C36">
            <w:pPr>
              <w:spacing w:after="0" w:line="240" w:lineRule="auto"/>
              <w:rPr>
                <w:rFonts w:ascii="Calibri" w:eastAsia="Times New Roman" w:hAnsi="Calibri" w:cs="Times New Roman"/>
                <w:b/>
                <w:bCs/>
                <w:color w:val="000000"/>
                <w:lang w:eastAsia="en-AU"/>
              </w:rPr>
            </w:pPr>
            <w:r w:rsidRPr="00652162">
              <w:rPr>
                <w:rFonts w:ascii="Calibri" w:eastAsia="Times New Roman" w:hAnsi="Calibri" w:cs="Times New Roman"/>
                <w:b/>
                <w:bCs/>
                <w:color w:val="000000"/>
                <w:lang w:eastAsia="en-AU"/>
              </w:rPr>
              <w:t xml:space="preserve">Higher </w:t>
            </w:r>
            <w:r>
              <w:rPr>
                <w:rFonts w:ascii="Calibri" w:eastAsia="Times New Roman" w:hAnsi="Calibri" w:cs="Times New Roman"/>
                <w:b/>
                <w:bCs/>
                <w:color w:val="000000"/>
                <w:lang w:eastAsia="en-AU"/>
              </w:rPr>
              <w:t>vs Lower Participation</w:t>
            </w:r>
          </w:p>
        </w:tc>
        <w:tc>
          <w:tcPr>
            <w:tcW w:w="730" w:type="dxa"/>
            <w:tcBorders>
              <w:top w:val="nil"/>
              <w:left w:val="nil"/>
              <w:bottom w:val="single" w:sz="4" w:space="0" w:color="000000"/>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0.349</w:t>
            </w:r>
          </w:p>
        </w:tc>
        <w:tc>
          <w:tcPr>
            <w:tcW w:w="1160" w:type="dxa"/>
            <w:tcBorders>
              <w:top w:val="nil"/>
              <w:left w:val="nil"/>
              <w:bottom w:val="single" w:sz="4" w:space="0" w:color="000000"/>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0.038</w:t>
            </w:r>
          </w:p>
        </w:tc>
        <w:tc>
          <w:tcPr>
            <w:tcW w:w="1160" w:type="dxa"/>
            <w:tcBorders>
              <w:top w:val="nil"/>
              <w:left w:val="nil"/>
              <w:bottom w:val="single" w:sz="4" w:space="0" w:color="000000"/>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9.270</w:t>
            </w:r>
          </w:p>
        </w:tc>
        <w:tc>
          <w:tcPr>
            <w:tcW w:w="917" w:type="dxa"/>
            <w:tcBorders>
              <w:top w:val="nil"/>
              <w:left w:val="nil"/>
              <w:bottom w:val="single" w:sz="4" w:space="0" w:color="000000"/>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0.000</w:t>
            </w:r>
          </w:p>
        </w:tc>
        <w:tc>
          <w:tcPr>
            <w:tcW w:w="1211" w:type="dxa"/>
            <w:gridSpan w:val="2"/>
            <w:tcBorders>
              <w:top w:val="nil"/>
              <w:left w:val="nil"/>
              <w:bottom w:val="single" w:sz="4" w:space="0" w:color="000000"/>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0.275</w:t>
            </w:r>
          </w:p>
        </w:tc>
        <w:tc>
          <w:tcPr>
            <w:tcW w:w="1199" w:type="dxa"/>
            <w:tcBorders>
              <w:top w:val="nil"/>
              <w:left w:val="nil"/>
              <w:bottom w:val="single" w:sz="4" w:space="0" w:color="000000"/>
              <w:right w:val="nil"/>
            </w:tcBorders>
            <w:shd w:val="clear" w:color="auto" w:fill="auto"/>
            <w:noWrap/>
            <w:vAlign w:val="bottom"/>
            <w:hideMark/>
          </w:tcPr>
          <w:p w:rsidR="00091987" w:rsidRPr="00652162" w:rsidRDefault="00091987" w:rsidP="00691C36">
            <w:pPr>
              <w:spacing w:after="0" w:line="240" w:lineRule="auto"/>
              <w:jc w:val="center"/>
              <w:rPr>
                <w:rFonts w:ascii="Calibri" w:eastAsia="Times New Roman" w:hAnsi="Calibri" w:cs="Times New Roman"/>
                <w:color w:val="000000"/>
                <w:lang w:eastAsia="en-AU"/>
              </w:rPr>
            </w:pPr>
            <w:r w:rsidRPr="00652162">
              <w:rPr>
                <w:rFonts w:ascii="Calibri" w:eastAsia="Times New Roman" w:hAnsi="Calibri" w:cs="Times New Roman"/>
                <w:color w:val="000000"/>
                <w:lang w:eastAsia="en-AU"/>
              </w:rPr>
              <w:t>0.423</w:t>
            </w:r>
          </w:p>
        </w:tc>
      </w:tr>
    </w:tbl>
    <w:p w:rsidR="00091987" w:rsidRDefault="00091987" w:rsidP="00091987">
      <w:pPr>
        <w:tabs>
          <w:tab w:val="left" w:pos="4950"/>
        </w:tabs>
        <w:spacing w:after="0"/>
      </w:pPr>
    </w:p>
    <w:p w:rsidR="00091987" w:rsidRPr="00577B1A" w:rsidRDefault="00091987" w:rsidP="00091987">
      <w:r w:rsidRPr="00577B1A">
        <w:t>We see here that the effect on these unadjusted estimates of online Activity/p</w:t>
      </w:r>
      <w:r>
        <w:t>art</w:t>
      </w:r>
      <w:r w:rsidRPr="00577B1A">
        <w:t xml:space="preserve">icipation is statistically significant, representing the equivalent gain of about two thirds of a grade (from a mid-level pass to a low credit) for higher levels of </w:t>
      </w:r>
      <w:proofErr w:type="spellStart"/>
      <w:r w:rsidRPr="00577B1A">
        <w:t>Learnline</w:t>
      </w:r>
      <w:proofErr w:type="spellEnd"/>
      <w:r w:rsidRPr="00577B1A">
        <w:t xml:space="preserve"> Activity and about a third of a grade (from a marginal to a mid-level Credit) for Collaborate Participation. The difference in the lower Activity expectation or mean is probably the result of the prior self-selection for Participation to the Collaborate trials. The overall effect is nevertheless noteworthy of further investigation. </w:t>
      </w:r>
    </w:p>
    <w:p w:rsidR="00091987" w:rsidRDefault="00091987" w:rsidP="00091987">
      <w:r w:rsidRPr="00577B1A">
        <w:t>These effects are then displayed graphically in the following margin</w:t>
      </w:r>
      <w:r>
        <w:t xml:space="preserve"> </w:t>
      </w:r>
      <w:proofErr w:type="spellStart"/>
      <w:r w:rsidRPr="00577B1A">
        <w:t>splots</w:t>
      </w:r>
      <w:proofErr w:type="spellEnd"/>
      <w:r w:rsidRPr="00577B1A">
        <w:t>, where the binary treatment (</w:t>
      </w:r>
      <w:proofErr w:type="spellStart"/>
      <w:r w:rsidRPr="00577B1A">
        <w:t>ie</w:t>
      </w:r>
      <w:proofErr w:type="spellEnd"/>
      <w:r w:rsidRPr="00577B1A">
        <w:t xml:space="preserve"> “higher/lower” groupings) are replaced by the actual scores on the continuous variables </w:t>
      </w:r>
      <w:proofErr w:type="spellStart"/>
      <w:r w:rsidRPr="00577B1A">
        <w:t>Learnline</w:t>
      </w:r>
      <w:proofErr w:type="spellEnd"/>
      <w:r w:rsidRPr="00577B1A">
        <w:t xml:space="preserve"> Activity/Collaborate Participation. As defined above, the </w:t>
      </w:r>
      <w:proofErr w:type="spellStart"/>
      <w:r w:rsidRPr="00577B1A">
        <w:t>Learnline</w:t>
      </w:r>
      <w:proofErr w:type="spellEnd"/>
      <w:r w:rsidRPr="00577B1A">
        <w:t xml:space="preserve"> scores are based on the aggregated ratio of an individual observations </w:t>
      </w:r>
      <w:r w:rsidR="0016459E">
        <w:t>9</w:t>
      </w:r>
      <w:r w:rsidRPr="00577B1A">
        <w:t>number of accesses, minutes online and “clicks) to that for the whole sampl</w:t>
      </w:r>
      <w:r>
        <w:t>e, whi</w:t>
      </w:r>
      <w:r w:rsidRPr="00577B1A">
        <w:t>l</w:t>
      </w:r>
      <w:r>
        <w:t>e</w:t>
      </w:r>
      <w:r w:rsidRPr="00577B1A">
        <w:t xml:space="preserve"> </w:t>
      </w:r>
      <w:proofErr w:type="spellStart"/>
      <w:r w:rsidRPr="00577B1A">
        <w:t>Learnline</w:t>
      </w:r>
      <w:proofErr w:type="spellEnd"/>
      <w:r w:rsidRPr="00577B1A">
        <w:t xml:space="preserve"> or the percentage of available sessions of Collaborate attended,  with the margin of error (C.I. 95%) indicated in the width of the regression lines (Fig.2, (a) and (b))</w:t>
      </w:r>
      <w:r>
        <w:rPr>
          <w:rStyle w:val="FootnoteReference"/>
        </w:rPr>
        <w:footnoteReference w:id="1"/>
      </w:r>
      <w:r>
        <w:t>.</w:t>
      </w:r>
      <w:r w:rsidRPr="00577B1A">
        <w:t xml:space="preserve">  </w:t>
      </w:r>
    </w:p>
    <w:p w:rsidR="00091987" w:rsidRPr="008D5FAB" w:rsidRDefault="00091987" w:rsidP="0016459E">
      <w:pPr>
        <w:pStyle w:val="Figure"/>
      </w:pPr>
      <w:bookmarkStart w:id="14" w:name="_Toc517439492"/>
      <w:r w:rsidRPr="008D5FAB">
        <w:t xml:space="preserve">Fig. 2(a) &amp; 2(b) </w:t>
      </w:r>
      <w:proofErr w:type="spellStart"/>
      <w:r w:rsidRPr="008D5FAB">
        <w:t>Marginsplots</w:t>
      </w:r>
      <w:proofErr w:type="spellEnd"/>
      <w:r w:rsidRPr="008D5FAB">
        <w:t xml:space="preserve"> of Regression of Grade Scale on </w:t>
      </w:r>
      <w:proofErr w:type="spellStart"/>
      <w:r w:rsidRPr="008D5FAB">
        <w:t>Learnline</w:t>
      </w:r>
      <w:proofErr w:type="spellEnd"/>
      <w:r w:rsidRPr="008D5FAB">
        <w:t xml:space="preserve"> Activity Score (</w:t>
      </w:r>
      <w:proofErr w:type="spellStart"/>
      <w:r w:rsidRPr="008D5FAB">
        <w:t>logscale</w:t>
      </w:r>
      <w:proofErr w:type="spellEnd"/>
      <w:r w:rsidRPr="008D5FAB">
        <w:t>)</w:t>
      </w:r>
      <w:r w:rsidR="005D606E">
        <w:br/>
      </w:r>
      <w:proofErr w:type="spellStart"/>
      <w:r w:rsidRPr="008D5FAB">
        <w:t>Learnline</w:t>
      </w:r>
      <w:proofErr w:type="spellEnd"/>
      <w:r w:rsidRPr="008D5FAB">
        <w:t xml:space="preserve"> sample:  ( </w:t>
      </w:r>
      <w:proofErr w:type="spellStart"/>
      <w:r w:rsidRPr="008D5FAB">
        <w:t>Rsq</w:t>
      </w:r>
      <w:proofErr w:type="spellEnd"/>
      <w:r w:rsidRPr="008D5FAB">
        <w:t xml:space="preserve">=.10, p&lt;.0000); Collaborate  </w:t>
      </w:r>
      <w:proofErr w:type="spellStart"/>
      <w:r w:rsidRPr="008D5FAB">
        <w:t>sample:Rsq</w:t>
      </w:r>
      <w:proofErr w:type="spellEnd"/>
      <w:r w:rsidRPr="008D5FAB">
        <w:t>= .04, p&lt;.000)</w:t>
      </w:r>
      <w:r w:rsidRPr="008D5FAB">
        <w:br/>
        <w:t xml:space="preserve">(a) </w:t>
      </w:r>
      <w:proofErr w:type="spellStart"/>
      <w:r w:rsidRPr="008D5FAB">
        <w:t>Learnline</w:t>
      </w:r>
      <w:proofErr w:type="spellEnd"/>
      <w:r w:rsidRPr="008D5FAB">
        <w:t xml:space="preserve"> Activity and Numeric Grade for Unit</w:t>
      </w:r>
      <w:bookmarkEnd w:id="14"/>
      <w:r w:rsidRPr="008D5FAB">
        <w:t xml:space="preserve"> </w:t>
      </w:r>
    </w:p>
    <w:p w:rsidR="00091987" w:rsidRPr="00347D39" w:rsidRDefault="00091987" w:rsidP="00091987">
      <w:pPr>
        <w:tabs>
          <w:tab w:val="left" w:pos="5670"/>
        </w:tabs>
        <w:spacing w:after="0" w:line="240" w:lineRule="auto"/>
      </w:pPr>
    </w:p>
    <w:p w:rsidR="005D606E" w:rsidRDefault="00091987" w:rsidP="00091987">
      <w:pPr>
        <w:tabs>
          <w:tab w:val="left" w:pos="4950"/>
        </w:tabs>
        <w:spacing w:after="0"/>
        <w:jc w:val="center"/>
      </w:pPr>
      <w:r>
        <w:rPr>
          <w:noProof/>
          <w:lang w:eastAsia="en-AU"/>
        </w:rPr>
        <w:drawing>
          <wp:inline distT="0" distB="0" distL="0" distR="0" wp14:anchorId="27833E9A" wp14:editId="7105585C">
            <wp:extent cx="2824435" cy="20404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43860" cy="2054500"/>
                    </a:xfrm>
                    <a:prstGeom prst="rect">
                      <a:avLst/>
                    </a:prstGeom>
                  </pic:spPr>
                </pic:pic>
              </a:graphicData>
            </a:graphic>
          </wp:inline>
        </w:drawing>
      </w:r>
    </w:p>
    <w:p w:rsidR="005D606E" w:rsidRDefault="005D606E">
      <w:r>
        <w:br w:type="page"/>
      </w:r>
    </w:p>
    <w:p w:rsidR="00091987" w:rsidRPr="005C59F3" w:rsidRDefault="00091987" w:rsidP="00091987">
      <w:pPr>
        <w:tabs>
          <w:tab w:val="left" w:pos="4950"/>
        </w:tabs>
        <w:spacing w:after="0"/>
        <w:jc w:val="center"/>
      </w:pPr>
    </w:p>
    <w:p w:rsidR="00091987" w:rsidRPr="005D606E" w:rsidRDefault="00091987" w:rsidP="005D606E">
      <w:pPr>
        <w:pStyle w:val="Figure"/>
      </w:pPr>
      <w:bookmarkStart w:id="15" w:name="_Toc517439493"/>
      <w:r w:rsidRPr="005D606E">
        <w:t>(b) Collaborate Participation and Numeric Grade for Unit</w:t>
      </w:r>
      <w:bookmarkEnd w:id="15"/>
    </w:p>
    <w:p w:rsidR="00091987" w:rsidRDefault="00091987" w:rsidP="00091987">
      <w:pPr>
        <w:tabs>
          <w:tab w:val="left" w:pos="4950"/>
        </w:tabs>
        <w:spacing w:after="0"/>
        <w:jc w:val="center"/>
      </w:pPr>
      <w:r w:rsidRPr="0057019F">
        <w:rPr>
          <w:rFonts w:cstheme="minorHAnsi"/>
          <w:noProof/>
          <w:lang w:eastAsia="en-AU"/>
        </w:rPr>
        <w:drawing>
          <wp:inline distT="0" distB="0" distL="0" distR="0" wp14:anchorId="751BA706" wp14:editId="40E376B5">
            <wp:extent cx="3287254" cy="2035286"/>
            <wp:effectExtent l="0" t="0" r="8890" b="317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4335" cy="2083010"/>
                    </a:xfrm>
                    <a:prstGeom prst="rect">
                      <a:avLst/>
                    </a:prstGeom>
                  </pic:spPr>
                </pic:pic>
              </a:graphicData>
            </a:graphic>
          </wp:inline>
        </w:drawing>
      </w:r>
    </w:p>
    <w:p w:rsidR="00091987" w:rsidRPr="00B96FED" w:rsidRDefault="00091987" w:rsidP="005D606E">
      <w:pPr>
        <w:spacing w:before="120"/>
      </w:pPr>
      <w:r w:rsidRPr="00B96FED">
        <w:t xml:space="preserve">For </w:t>
      </w:r>
      <w:proofErr w:type="spellStart"/>
      <w:r w:rsidRPr="00B96FED">
        <w:t>Learnline</w:t>
      </w:r>
      <w:proofErr w:type="spellEnd"/>
      <w:r w:rsidRPr="00B96FED">
        <w:t xml:space="preserve"> Activity on average, those students who had the very lowest level of activity achieved a grade of just under a Pass score. In contrast, those who engaged the most achieved an average grade of Distinction (Figure 3.10). There is also a strong linear relationship between the use of Collaborate tools and the numerical grade awarded for the unit (Fig. 3.11), with a difference of about one and half grades in favour of the Collaborate sample for those who the most compared with the lowest average scoring group (albeit with a wider confidence interval).</w:t>
      </w:r>
    </w:p>
    <w:p w:rsidR="00091987" w:rsidRPr="00B96FED" w:rsidRDefault="00091987" w:rsidP="00091987">
      <w:r w:rsidRPr="00B96FED">
        <w:t xml:space="preserve">Although these contrasted gains between the extremes of grouped values must be qualified by averaged effects between higher vs lower online activity groups samples as a whole, these are still are highly statistically significant, with the average marginal gain of about half a grade for increased </w:t>
      </w:r>
      <w:proofErr w:type="spellStart"/>
      <w:r w:rsidRPr="00B96FED">
        <w:t>Learnline</w:t>
      </w:r>
      <w:proofErr w:type="spellEnd"/>
      <w:r w:rsidRPr="00B96FED">
        <w:t xml:space="preserve"> Activity and about a third of a grade for increased Collaborate </w:t>
      </w:r>
      <w:r w:rsidRPr="007565DD">
        <w:t>activity (see Table 1, accompanying paper).</w:t>
      </w:r>
      <w:r w:rsidRPr="00B96FED">
        <w:t xml:space="preserve"> </w:t>
      </w:r>
    </w:p>
    <w:p w:rsidR="00091987" w:rsidRDefault="00091987" w:rsidP="00091987">
      <w:r w:rsidRPr="00B96FED">
        <w:t>The results of this minimal (“i</w:t>
      </w:r>
      <w:r w:rsidR="007E0898">
        <w:t>.</w:t>
      </w:r>
      <w:r w:rsidRPr="00B96FED">
        <w:t>e</w:t>
      </w:r>
      <w:r w:rsidR="007E0898">
        <w:t>.</w:t>
      </w:r>
      <w:r w:rsidRPr="00B96FED">
        <w:t xml:space="preserve"> bivariate /unadjusted” for confounders”) model give</w:t>
      </w:r>
      <w:r>
        <w:t>s</w:t>
      </w:r>
      <w:r w:rsidRPr="00B96FED">
        <w:t xml:space="preserve"> evidence of a significant and substantial marginal gain in grade awarded for in both </w:t>
      </w:r>
      <w:proofErr w:type="spellStart"/>
      <w:r w:rsidRPr="00B96FED">
        <w:t>Learnline</w:t>
      </w:r>
      <w:proofErr w:type="spellEnd"/>
      <w:r w:rsidRPr="00B96FED">
        <w:t xml:space="preserve"> and Collaborate samples. The Collaborate sample is smaller and its explanatory value lower than for </w:t>
      </w:r>
      <w:proofErr w:type="spellStart"/>
      <w:r w:rsidRPr="00B96FED">
        <w:t>Learnline</w:t>
      </w:r>
      <w:proofErr w:type="spellEnd"/>
      <w:r w:rsidRPr="00B96FED">
        <w:t xml:space="preserve"> Activity (4% against 10% of the variance explained in Numerical Grade Awarded). The lower value for the Collaborate sample is probably due to a restriction in range effect, as it included only those observations who had self-selected (volunteered) to participate in the range of trials of this innovative learning management tool.</w:t>
      </w:r>
    </w:p>
    <w:p w:rsidR="00091987" w:rsidRPr="00B96FED" w:rsidRDefault="00091987" w:rsidP="00091987">
      <w:pPr>
        <w:spacing w:after="120"/>
      </w:pPr>
      <w:r w:rsidRPr="00B96FED">
        <w:t xml:space="preserve">However, In order to attribute any causal effect to online activity, the following sections will adjust these gains for the effects of student background and situation, as well as the take into account the possible influence of those factors which were neither observed </w:t>
      </w:r>
      <w:r>
        <w:t>n</w:t>
      </w:r>
      <w:r w:rsidRPr="00B96FED">
        <w:t xml:space="preserve">or included in our regression modelling. </w:t>
      </w:r>
    </w:p>
    <w:p w:rsidR="00091987" w:rsidRPr="00F82F4D" w:rsidRDefault="00091987" w:rsidP="00F82F4D">
      <w:pPr>
        <w:rPr>
          <w:b/>
          <w:sz w:val="24"/>
          <w:szCs w:val="24"/>
        </w:rPr>
      </w:pPr>
      <w:r w:rsidRPr="00F82F4D">
        <w:rPr>
          <w:b/>
          <w:sz w:val="24"/>
          <w:szCs w:val="24"/>
        </w:rPr>
        <w:t xml:space="preserve">Controlling for Pedagogic Context and Student Background Multivariate Regression with </w:t>
      </w:r>
      <w:proofErr w:type="spellStart"/>
      <w:r w:rsidRPr="00F82F4D">
        <w:rPr>
          <w:b/>
          <w:sz w:val="24"/>
          <w:szCs w:val="24"/>
        </w:rPr>
        <w:t>Marginsplots</w:t>
      </w:r>
      <w:proofErr w:type="spellEnd"/>
      <w:r w:rsidRPr="00F82F4D">
        <w:rPr>
          <w:b/>
          <w:sz w:val="24"/>
          <w:szCs w:val="24"/>
        </w:rPr>
        <w:t xml:space="preserve"> </w:t>
      </w:r>
    </w:p>
    <w:p w:rsidR="00091987" w:rsidRPr="00C36AD9" w:rsidRDefault="00091987" w:rsidP="00091987">
      <w:r w:rsidRPr="00C36AD9">
        <w:t>A similar analytical method was then applied, introducing controls for possible “confounders”, all four pedagogic context categories together with a range of student background attributes. This was carried out for both the dichotomised and the contin</w:t>
      </w:r>
      <w:r>
        <w:t>u</w:t>
      </w:r>
      <w:r w:rsidRPr="00C36AD9">
        <w:t>ous measures of treatment, again using multivariate OLS regression model (again Stata regress with robust option)</w:t>
      </w:r>
      <w:r>
        <w:t>.</w:t>
      </w:r>
      <w:r w:rsidRPr="00C36AD9">
        <w:t xml:space="preserve"> The results for the binary treatment model are summarised in (Table 2 and for the contin</w:t>
      </w:r>
      <w:r>
        <w:t>u</w:t>
      </w:r>
      <w:r w:rsidRPr="00C36AD9">
        <w:t>ous measurement in Figs. 3(a) &amp; 3(b)</w:t>
      </w:r>
      <w:r>
        <w:rPr>
          <w:rStyle w:val="FootnoteReference"/>
        </w:rPr>
        <w:footnoteReference w:id="2"/>
      </w:r>
      <w:r w:rsidRPr="00C36AD9">
        <w:t xml:space="preserve">. </w:t>
      </w:r>
    </w:p>
    <w:p w:rsidR="00091987" w:rsidRPr="00C36AD9" w:rsidRDefault="00091987" w:rsidP="00091987">
      <w:r w:rsidRPr="00C36AD9">
        <w:lastRenderedPageBreak/>
        <w:t>The following analyses will</w:t>
      </w:r>
      <w:r>
        <w:t xml:space="preserve"> </w:t>
      </w:r>
      <w:r w:rsidRPr="00C36AD9">
        <w:t xml:space="preserve">therefore subject this “zero order” explanatory effect of online Activity / Participation to the following questions: (a) will the “gap” between the “treated” and the “untreated” groups persist after a range of “confounders” have been controlled?; (b) will any effect be spread evenly across all four pedagogic contexts (mode of attendance and type of first year unit (Common or “Core”)? </w:t>
      </w:r>
      <w:r w:rsidR="005D606E">
        <w:t xml:space="preserve"> </w:t>
      </w:r>
      <w:r w:rsidRPr="00C36AD9">
        <w:t xml:space="preserve">(c) what would be the effect should it be possible to simulate the conditions of random assignment to treatment of a properly conducted controlled experiment? </w:t>
      </w:r>
    </w:p>
    <w:p w:rsidR="00091987" w:rsidRDefault="00091987" w:rsidP="00091987">
      <w:r w:rsidRPr="00C36AD9">
        <w:t>This stage continues to apply classical regression analysis techniques  (Stata Ordinary Least Squares with a robust option) for arriving at the “best unbiased linear estimates” of  the effect of treatments, context and covariate ”confounders”. In parallel with the previous strategy for and, “treatment” is defined in a binary variable (higher vs lower levels of online Activity/participation, as in Table (1) and then in more precise terms, as the continuous composite variables as used in Figs. 2(a) and 2(b).</w:t>
      </w:r>
    </w:p>
    <w:p w:rsidR="00091987" w:rsidRPr="008D5FAB" w:rsidRDefault="00091987" w:rsidP="007E0898">
      <w:pPr>
        <w:pStyle w:val="TableofFigures"/>
        <w:ind w:left="28"/>
      </w:pPr>
      <w:bookmarkStart w:id="16" w:name="_Toc517439508"/>
      <w:r w:rsidRPr="008D5FAB">
        <w:rPr>
          <w:noProof/>
        </w:rPr>
        <w:t xml:space="preserve">Table 2. Predicted </w:t>
      </w:r>
      <w:r w:rsidRPr="008D5FAB">
        <w:t xml:space="preserve">Numerical Grade Scores by Online Activity Group and Activity Type </w:t>
      </w:r>
      <w:r w:rsidR="007E0898">
        <w:br/>
      </w:r>
      <w:r w:rsidRPr="008D5FAB">
        <w:t>(Controlling for Pedagogic Context and Selected Student Background Attributes)</w:t>
      </w:r>
      <w:bookmarkEnd w:id="16"/>
    </w:p>
    <w:p w:rsidR="00091987" w:rsidRPr="008D5FAB" w:rsidRDefault="00091987" w:rsidP="00091987">
      <w:pPr>
        <w:spacing w:after="0" w:line="240" w:lineRule="auto"/>
        <w:rPr>
          <w:noProof/>
        </w:rPr>
      </w:pPr>
    </w:p>
    <w:tbl>
      <w:tblPr>
        <w:tblW w:w="9794" w:type="dxa"/>
        <w:jc w:val="center"/>
        <w:tblLook w:val="04A0" w:firstRow="1" w:lastRow="0" w:firstColumn="1" w:lastColumn="0" w:noHBand="0" w:noVBand="1"/>
      </w:tblPr>
      <w:tblGrid>
        <w:gridCol w:w="3686"/>
        <w:gridCol w:w="142"/>
        <w:gridCol w:w="141"/>
        <w:gridCol w:w="792"/>
        <w:gridCol w:w="1134"/>
        <w:gridCol w:w="941"/>
        <w:gridCol w:w="760"/>
        <w:gridCol w:w="1275"/>
        <w:gridCol w:w="997"/>
      </w:tblGrid>
      <w:tr w:rsidR="00091987" w:rsidRPr="000B1296" w:rsidTr="00691C36">
        <w:trPr>
          <w:trHeight w:val="300"/>
          <w:jc w:val="center"/>
        </w:trPr>
        <w:tc>
          <w:tcPr>
            <w:tcW w:w="3828" w:type="dxa"/>
            <w:gridSpan w:val="2"/>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rPr>
                <w:rFonts w:ascii="Times New Roman" w:eastAsia="Times New Roman" w:hAnsi="Times New Roman" w:cs="Times New Roman"/>
                <w:sz w:val="24"/>
                <w:szCs w:val="24"/>
                <w:lang w:eastAsia="en-AU"/>
              </w:rPr>
            </w:pPr>
          </w:p>
        </w:tc>
        <w:tc>
          <w:tcPr>
            <w:tcW w:w="859" w:type="dxa"/>
            <w:gridSpan w:val="2"/>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bCs/>
                <w:color w:val="000000"/>
                <w:lang w:eastAsia="en-AU"/>
              </w:rPr>
            </w:pPr>
            <w:r w:rsidRPr="000B1296">
              <w:rPr>
                <w:rFonts w:ascii="Calibri" w:eastAsia="Times New Roman" w:hAnsi="Calibri" w:cs="Times New Roman"/>
                <w:b/>
                <w:bCs/>
                <w:color w:val="000000"/>
                <w:lang w:eastAsia="en-AU"/>
              </w:rPr>
              <w:t>Margin</w:t>
            </w:r>
          </w:p>
        </w:tc>
        <w:tc>
          <w:tcPr>
            <w:tcW w:w="1134"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bCs/>
                <w:color w:val="000000"/>
                <w:lang w:eastAsia="en-AU"/>
              </w:rPr>
            </w:pPr>
            <w:r w:rsidRPr="000B1296">
              <w:rPr>
                <w:rFonts w:ascii="Calibri" w:eastAsia="Times New Roman" w:hAnsi="Calibri" w:cs="Times New Roman"/>
                <w:b/>
                <w:bCs/>
                <w:color w:val="000000"/>
                <w:lang w:eastAsia="en-AU"/>
              </w:rPr>
              <w:t>Std. Err.</w:t>
            </w:r>
          </w:p>
        </w:tc>
        <w:tc>
          <w:tcPr>
            <w:tcW w:w="941"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bCs/>
                <w:color w:val="000000"/>
                <w:lang w:eastAsia="en-AU"/>
              </w:rPr>
            </w:pPr>
            <w:r w:rsidRPr="000B1296">
              <w:rPr>
                <w:rFonts w:ascii="Calibri" w:eastAsia="Times New Roman" w:hAnsi="Calibri" w:cs="Times New Roman"/>
                <w:b/>
                <w:bCs/>
                <w:color w:val="000000"/>
                <w:lang w:eastAsia="en-AU"/>
              </w:rPr>
              <w:t>t</w:t>
            </w:r>
          </w:p>
        </w:tc>
        <w:tc>
          <w:tcPr>
            <w:tcW w:w="760"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bCs/>
                <w:color w:val="000000"/>
                <w:lang w:eastAsia="en-AU"/>
              </w:rPr>
            </w:pPr>
            <w:r w:rsidRPr="000B1296">
              <w:rPr>
                <w:rFonts w:ascii="Calibri" w:eastAsia="Times New Roman" w:hAnsi="Calibri" w:cs="Times New Roman"/>
                <w:b/>
                <w:bCs/>
                <w:color w:val="000000"/>
                <w:lang w:eastAsia="en-AU"/>
              </w:rPr>
              <w:t>P&gt;t</w:t>
            </w:r>
          </w:p>
        </w:tc>
        <w:tc>
          <w:tcPr>
            <w:tcW w:w="1275"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bCs/>
                <w:color w:val="000000"/>
                <w:lang w:eastAsia="en-AU"/>
              </w:rPr>
            </w:pPr>
            <w:r w:rsidRPr="000B1296">
              <w:rPr>
                <w:rFonts w:ascii="Calibri" w:eastAsia="Times New Roman" w:hAnsi="Calibri" w:cs="Times New Roman"/>
                <w:b/>
                <w:bCs/>
                <w:color w:val="000000"/>
                <w:lang w:eastAsia="en-AU"/>
              </w:rPr>
              <w:t>[95% Conf.</w:t>
            </w:r>
          </w:p>
        </w:tc>
        <w:tc>
          <w:tcPr>
            <w:tcW w:w="997"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rPr>
                <w:rFonts w:ascii="Calibri" w:eastAsia="Times New Roman" w:hAnsi="Calibri" w:cs="Times New Roman"/>
                <w:b/>
                <w:bCs/>
                <w:color w:val="000000"/>
                <w:lang w:eastAsia="en-AU"/>
              </w:rPr>
            </w:pPr>
            <w:r w:rsidRPr="000B1296">
              <w:rPr>
                <w:rFonts w:ascii="Calibri" w:eastAsia="Times New Roman" w:hAnsi="Calibri" w:cs="Times New Roman"/>
                <w:b/>
                <w:bCs/>
                <w:color w:val="000000"/>
                <w:lang w:eastAsia="en-AU"/>
              </w:rPr>
              <w:t>Interval]</w:t>
            </w:r>
          </w:p>
        </w:tc>
      </w:tr>
      <w:tr w:rsidR="00091987" w:rsidRPr="000B1296" w:rsidTr="00691C36">
        <w:trPr>
          <w:trHeight w:val="300"/>
          <w:jc w:val="center"/>
        </w:trPr>
        <w:tc>
          <w:tcPr>
            <w:tcW w:w="3828" w:type="dxa"/>
            <w:gridSpan w:val="2"/>
            <w:tcBorders>
              <w:top w:val="nil"/>
              <w:left w:val="nil"/>
              <w:bottom w:val="nil"/>
              <w:right w:val="nil"/>
            </w:tcBorders>
            <w:shd w:val="clear" w:color="auto" w:fill="auto"/>
            <w:noWrap/>
            <w:vAlign w:val="bottom"/>
            <w:hideMark/>
          </w:tcPr>
          <w:p w:rsidR="00091987" w:rsidRPr="000B1296" w:rsidRDefault="00091987" w:rsidP="00691C36">
            <w:pPr>
              <w:spacing w:after="0" w:line="240" w:lineRule="auto"/>
              <w:rPr>
                <w:rFonts w:ascii="Calibri" w:eastAsia="Times New Roman" w:hAnsi="Calibri" w:cs="Times New Roman"/>
                <w:b/>
                <w:bCs/>
                <w:i/>
                <w:iCs/>
                <w:color w:val="000000"/>
                <w:lang w:eastAsia="en-AU"/>
              </w:rPr>
            </w:pPr>
            <w:proofErr w:type="spellStart"/>
            <w:r w:rsidRPr="000B1296">
              <w:rPr>
                <w:rFonts w:ascii="Calibri" w:eastAsia="Times New Roman" w:hAnsi="Calibri" w:cs="Times New Roman"/>
                <w:b/>
                <w:bCs/>
                <w:i/>
                <w:iCs/>
                <w:color w:val="000000"/>
                <w:lang w:eastAsia="en-AU"/>
              </w:rPr>
              <w:t>Learnline</w:t>
            </w:r>
            <w:proofErr w:type="spellEnd"/>
            <w:r w:rsidRPr="000B1296">
              <w:rPr>
                <w:rFonts w:ascii="Calibri" w:eastAsia="Times New Roman" w:hAnsi="Calibri" w:cs="Times New Roman"/>
                <w:b/>
                <w:bCs/>
                <w:i/>
                <w:iCs/>
                <w:color w:val="000000"/>
                <w:lang w:eastAsia="en-AU"/>
              </w:rPr>
              <w:t xml:space="preserve"> </w:t>
            </w:r>
            <w:r>
              <w:rPr>
                <w:rFonts w:ascii="Calibri" w:eastAsia="Times New Roman" w:hAnsi="Calibri" w:cs="Times New Roman"/>
                <w:b/>
                <w:bCs/>
                <w:i/>
                <w:iCs/>
                <w:color w:val="000000"/>
                <w:lang w:eastAsia="en-AU"/>
              </w:rPr>
              <w:t>Activity</w:t>
            </w:r>
          </w:p>
        </w:tc>
        <w:tc>
          <w:tcPr>
            <w:tcW w:w="859" w:type="dxa"/>
            <w:gridSpan w:val="2"/>
            <w:tcBorders>
              <w:top w:val="nil"/>
              <w:left w:val="nil"/>
              <w:bottom w:val="nil"/>
              <w:right w:val="nil"/>
            </w:tcBorders>
            <w:shd w:val="clear" w:color="auto" w:fill="auto"/>
            <w:noWrap/>
            <w:vAlign w:val="bottom"/>
            <w:hideMark/>
          </w:tcPr>
          <w:p w:rsidR="00091987" w:rsidRPr="000B1296" w:rsidRDefault="00091987" w:rsidP="00691C36">
            <w:pPr>
              <w:spacing w:after="0" w:line="240" w:lineRule="auto"/>
              <w:rPr>
                <w:rFonts w:ascii="Calibri" w:eastAsia="Times New Roman" w:hAnsi="Calibri" w:cs="Times New Roman"/>
                <w:b/>
                <w:bCs/>
                <w:i/>
                <w:iCs/>
                <w:color w:val="000000"/>
                <w:lang w:eastAsia="en-AU"/>
              </w:rPr>
            </w:pPr>
          </w:p>
        </w:tc>
        <w:tc>
          <w:tcPr>
            <w:tcW w:w="1134"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Times New Roman" w:eastAsia="Times New Roman" w:hAnsi="Times New Roman" w:cs="Times New Roman"/>
                <w:sz w:val="20"/>
                <w:szCs w:val="20"/>
                <w:lang w:eastAsia="en-AU"/>
              </w:rPr>
            </w:pPr>
          </w:p>
        </w:tc>
        <w:tc>
          <w:tcPr>
            <w:tcW w:w="941"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Times New Roman" w:eastAsia="Times New Roman" w:hAnsi="Times New Roman" w:cs="Times New Roman"/>
                <w:sz w:val="20"/>
                <w:szCs w:val="20"/>
                <w:lang w:eastAsia="en-AU"/>
              </w:rPr>
            </w:pPr>
          </w:p>
        </w:tc>
        <w:tc>
          <w:tcPr>
            <w:tcW w:w="1275"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Times New Roman" w:eastAsia="Times New Roman" w:hAnsi="Times New Roman" w:cs="Times New Roman"/>
                <w:sz w:val="20"/>
                <w:szCs w:val="20"/>
                <w:lang w:eastAsia="en-AU"/>
              </w:rPr>
            </w:pPr>
          </w:p>
        </w:tc>
        <w:tc>
          <w:tcPr>
            <w:tcW w:w="997"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Times New Roman" w:eastAsia="Times New Roman" w:hAnsi="Times New Roman" w:cs="Times New Roman"/>
                <w:sz w:val="20"/>
                <w:szCs w:val="20"/>
                <w:lang w:eastAsia="en-AU"/>
              </w:rPr>
            </w:pPr>
          </w:p>
        </w:tc>
      </w:tr>
      <w:tr w:rsidR="00091987" w:rsidRPr="000B1296" w:rsidTr="00691C36">
        <w:trPr>
          <w:trHeight w:val="300"/>
          <w:jc w:val="center"/>
        </w:trPr>
        <w:tc>
          <w:tcPr>
            <w:tcW w:w="3828" w:type="dxa"/>
            <w:gridSpan w:val="2"/>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 xml:space="preserve">Lower </w:t>
            </w:r>
            <w:r>
              <w:rPr>
                <w:rFonts w:ascii="Calibri" w:eastAsia="Times New Roman" w:hAnsi="Calibri" w:cs="Times New Roman"/>
                <w:color w:val="000000"/>
                <w:lang w:eastAsia="en-AU"/>
              </w:rPr>
              <w:t>Activity</w:t>
            </w:r>
            <w:r w:rsidRPr="000B1296">
              <w:rPr>
                <w:rFonts w:ascii="Calibri" w:eastAsia="Times New Roman" w:hAnsi="Calibri" w:cs="Times New Roman"/>
                <w:color w:val="000000"/>
                <w:lang w:eastAsia="en-AU"/>
              </w:rPr>
              <w:t xml:space="preserve"> ("Untreated")</w:t>
            </w:r>
          </w:p>
        </w:tc>
        <w:tc>
          <w:tcPr>
            <w:tcW w:w="859" w:type="dxa"/>
            <w:gridSpan w:val="2"/>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4.738</w:t>
            </w:r>
          </w:p>
        </w:tc>
        <w:tc>
          <w:tcPr>
            <w:tcW w:w="1134"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0.018</w:t>
            </w:r>
          </w:p>
        </w:tc>
        <w:tc>
          <w:tcPr>
            <w:tcW w:w="941"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258.160</w:t>
            </w:r>
          </w:p>
        </w:tc>
        <w:tc>
          <w:tcPr>
            <w:tcW w:w="760"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0.000</w:t>
            </w:r>
          </w:p>
        </w:tc>
        <w:tc>
          <w:tcPr>
            <w:tcW w:w="1275"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4.702</w:t>
            </w:r>
          </w:p>
        </w:tc>
        <w:tc>
          <w:tcPr>
            <w:tcW w:w="997"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4.774</w:t>
            </w:r>
          </w:p>
        </w:tc>
      </w:tr>
      <w:tr w:rsidR="00091987" w:rsidRPr="000B1296" w:rsidTr="00691C36">
        <w:trPr>
          <w:trHeight w:val="300"/>
          <w:jc w:val="center"/>
        </w:trPr>
        <w:tc>
          <w:tcPr>
            <w:tcW w:w="3828" w:type="dxa"/>
            <w:gridSpan w:val="2"/>
            <w:tcBorders>
              <w:top w:val="nil"/>
              <w:left w:val="nil"/>
              <w:bottom w:val="nil"/>
              <w:right w:val="nil"/>
            </w:tcBorders>
            <w:shd w:val="clear" w:color="auto" w:fill="auto"/>
            <w:noWrap/>
            <w:vAlign w:val="bottom"/>
            <w:hideMark/>
          </w:tcPr>
          <w:p w:rsidR="00091987" w:rsidRPr="000B1296" w:rsidRDefault="00091987" w:rsidP="00691C36">
            <w:pPr>
              <w:spacing w:after="0" w:line="240" w:lineRule="auto"/>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 xml:space="preserve">Higher </w:t>
            </w:r>
            <w:r>
              <w:rPr>
                <w:rFonts w:ascii="Calibri" w:eastAsia="Times New Roman" w:hAnsi="Calibri" w:cs="Times New Roman"/>
                <w:color w:val="000000"/>
                <w:lang w:eastAsia="en-AU"/>
              </w:rPr>
              <w:t>Activity</w:t>
            </w:r>
            <w:r w:rsidRPr="000B1296">
              <w:rPr>
                <w:rFonts w:ascii="Calibri" w:eastAsia="Times New Roman" w:hAnsi="Calibri" w:cs="Times New Roman"/>
                <w:color w:val="000000"/>
                <w:lang w:eastAsia="en-AU"/>
              </w:rPr>
              <w:t xml:space="preserve"> ("Treated")</w:t>
            </w:r>
          </w:p>
        </w:tc>
        <w:tc>
          <w:tcPr>
            <w:tcW w:w="859" w:type="dxa"/>
            <w:gridSpan w:val="2"/>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5.230</w:t>
            </w:r>
          </w:p>
        </w:tc>
        <w:tc>
          <w:tcPr>
            <w:tcW w:w="1134"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0.012</w:t>
            </w:r>
          </w:p>
        </w:tc>
        <w:tc>
          <w:tcPr>
            <w:tcW w:w="941"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422.780</w:t>
            </w:r>
          </w:p>
        </w:tc>
        <w:tc>
          <w:tcPr>
            <w:tcW w:w="760"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0.000</w:t>
            </w:r>
          </w:p>
        </w:tc>
        <w:tc>
          <w:tcPr>
            <w:tcW w:w="1275"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5.206</w:t>
            </w:r>
          </w:p>
        </w:tc>
        <w:tc>
          <w:tcPr>
            <w:tcW w:w="997"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5.254</w:t>
            </w:r>
          </w:p>
        </w:tc>
      </w:tr>
      <w:tr w:rsidR="00091987" w:rsidRPr="000B1296" w:rsidTr="00691C36">
        <w:trPr>
          <w:trHeight w:val="300"/>
          <w:jc w:val="center"/>
        </w:trPr>
        <w:tc>
          <w:tcPr>
            <w:tcW w:w="3828" w:type="dxa"/>
            <w:gridSpan w:val="2"/>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rPr>
                <w:rFonts w:ascii="Calibri" w:eastAsia="Times New Roman" w:hAnsi="Calibri" w:cs="Times New Roman"/>
                <w:b/>
                <w:color w:val="000000"/>
                <w:lang w:eastAsia="en-AU"/>
              </w:rPr>
            </w:pPr>
            <w:r w:rsidRPr="000B1296">
              <w:rPr>
                <w:rFonts w:ascii="Calibri" w:eastAsia="Times New Roman" w:hAnsi="Calibri" w:cs="Times New Roman"/>
                <w:b/>
                <w:color w:val="000000"/>
                <w:lang w:eastAsia="en-AU"/>
              </w:rPr>
              <w:t xml:space="preserve">Higher vs Lower </w:t>
            </w:r>
            <w:r>
              <w:rPr>
                <w:rFonts w:ascii="Calibri" w:eastAsia="Times New Roman" w:hAnsi="Calibri" w:cs="Times New Roman"/>
                <w:b/>
                <w:color w:val="000000"/>
                <w:lang w:eastAsia="en-AU"/>
              </w:rPr>
              <w:t>Activity</w:t>
            </w:r>
            <w:r w:rsidRPr="000B1296">
              <w:rPr>
                <w:rFonts w:ascii="Calibri" w:eastAsia="Times New Roman" w:hAnsi="Calibri" w:cs="Times New Roman"/>
                <w:b/>
                <w:color w:val="000000"/>
                <w:lang w:eastAsia="en-AU"/>
              </w:rPr>
              <w:t xml:space="preserve"> (1 vs 0)</w:t>
            </w:r>
          </w:p>
        </w:tc>
        <w:tc>
          <w:tcPr>
            <w:tcW w:w="859" w:type="dxa"/>
            <w:gridSpan w:val="2"/>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color w:val="000000"/>
                <w:lang w:eastAsia="en-AU"/>
              </w:rPr>
            </w:pPr>
            <w:r w:rsidRPr="000B1296">
              <w:rPr>
                <w:rFonts w:ascii="Calibri" w:eastAsia="Times New Roman" w:hAnsi="Calibri" w:cs="Times New Roman"/>
                <w:b/>
                <w:color w:val="000000"/>
                <w:lang w:eastAsia="en-AU"/>
              </w:rPr>
              <w:t>0.492</w:t>
            </w:r>
          </w:p>
        </w:tc>
        <w:tc>
          <w:tcPr>
            <w:tcW w:w="1134"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color w:val="000000"/>
                <w:lang w:eastAsia="en-AU"/>
              </w:rPr>
            </w:pPr>
            <w:r w:rsidRPr="000B1296">
              <w:rPr>
                <w:rFonts w:ascii="Calibri" w:eastAsia="Times New Roman" w:hAnsi="Calibri" w:cs="Times New Roman"/>
                <w:b/>
                <w:color w:val="000000"/>
                <w:lang w:eastAsia="en-AU"/>
              </w:rPr>
              <w:t>0.022</w:t>
            </w:r>
          </w:p>
        </w:tc>
        <w:tc>
          <w:tcPr>
            <w:tcW w:w="941"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color w:val="000000"/>
                <w:lang w:eastAsia="en-AU"/>
              </w:rPr>
            </w:pPr>
          </w:p>
        </w:tc>
        <w:tc>
          <w:tcPr>
            <w:tcW w:w="760"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Times New Roman" w:eastAsia="Times New Roman" w:hAnsi="Times New Roman" w:cs="Times New Roman"/>
                <w:b/>
                <w:sz w:val="20"/>
                <w:szCs w:val="20"/>
                <w:lang w:eastAsia="en-AU"/>
              </w:rPr>
            </w:pPr>
          </w:p>
        </w:tc>
        <w:tc>
          <w:tcPr>
            <w:tcW w:w="1275"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color w:val="000000"/>
                <w:lang w:eastAsia="en-AU"/>
              </w:rPr>
            </w:pPr>
            <w:r w:rsidRPr="000B1296">
              <w:rPr>
                <w:rFonts w:ascii="Calibri" w:eastAsia="Times New Roman" w:hAnsi="Calibri" w:cs="Times New Roman"/>
                <w:b/>
                <w:color w:val="000000"/>
                <w:lang w:eastAsia="en-AU"/>
              </w:rPr>
              <w:t>0.448</w:t>
            </w:r>
          </w:p>
        </w:tc>
        <w:tc>
          <w:tcPr>
            <w:tcW w:w="997"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b/>
                <w:color w:val="000000"/>
                <w:lang w:eastAsia="en-AU"/>
              </w:rPr>
            </w:pPr>
            <w:r w:rsidRPr="000B1296">
              <w:rPr>
                <w:rFonts w:ascii="Calibri" w:eastAsia="Times New Roman" w:hAnsi="Calibri" w:cs="Times New Roman"/>
                <w:b/>
                <w:color w:val="000000"/>
                <w:lang w:eastAsia="en-AU"/>
              </w:rPr>
              <w:t>0.536</w:t>
            </w:r>
          </w:p>
        </w:tc>
      </w:tr>
      <w:tr w:rsidR="00091987" w:rsidRPr="000B1296" w:rsidTr="00691C36">
        <w:trPr>
          <w:trHeight w:val="300"/>
          <w:jc w:val="center"/>
        </w:trPr>
        <w:tc>
          <w:tcPr>
            <w:tcW w:w="3828" w:type="dxa"/>
            <w:gridSpan w:val="2"/>
            <w:tcBorders>
              <w:top w:val="nil"/>
              <w:left w:val="nil"/>
              <w:bottom w:val="nil"/>
              <w:right w:val="nil"/>
            </w:tcBorders>
            <w:shd w:val="clear" w:color="auto" w:fill="auto"/>
            <w:noWrap/>
            <w:vAlign w:val="bottom"/>
            <w:hideMark/>
          </w:tcPr>
          <w:p w:rsidR="00091987" w:rsidRPr="000B1296" w:rsidRDefault="00091987" w:rsidP="00691C36">
            <w:pPr>
              <w:spacing w:after="0" w:line="240" w:lineRule="auto"/>
              <w:rPr>
                <w:rFonts w:ascii="Calibri" w:eastAsia="Times New Roman" w:hAnsi="Calibri" w:cs="Times New Roman"/>
                <w:b/>
                <w:bCs/>
                <w:i/>
                <w:iCs/>
                <w:color w:val="000000"/>
                <w:lang w:eastAsia="en-AU"/>
              </w:rPr>
            </w:pPr>
            <w:r w:rsidRPr="000B1296">
              <w:rPr>
                <w:rFonts w:ascii="Calibri" w:eastAsia="Times New Roman" w:hAnsi="Calibri" w:cs="Times New Roman"/>
                <w:b/>
                <w:bCs/>
                <w:i/>
                <w:iCs/>
                <w:color w:val="000000"/>
                <w:lang w:eastAsia="en-AU"/>
              </w:rPr>
              <w:t xml:space="preserve">Collaborate </w:t>
            </w:r>
            <w:r>
              <w:rPr>
                <w:rFonts w:ascii="Calibri" w:eastAsia="Times New Roman" w:hAnsi="Calibri" w:cs="Times New Roman"/>
                <w:b/>
                <w:bCs/>
                <w:i/>
                <w:iCs/>
                <w:color w:val="000000"/>
                <w:lang w:eastAsia="en-AU"/>
              </w:rPr>
              <w:t>Participation</w:t>
            </w:r>
          </w:p>
        </w:tc>
        <w:tc>
          <w:tcPr>
            <w:tcW w:w="859" w:type="dxa"/>
            <w:gridSpan w:val="2"/>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Margin</w:t>
            </w:r>
          </w:p>
        </w:tc>
        <w:tc>
          <w:tcPr>
            <w:tcW w:w="1134"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Std. Err.</w:t>
            </w:r>
          </w:p>
        </w:tc>
        <w:tc>
          <w:tcPr>
            <w:tcW w:w="941"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t</w:t>
            </w:r>
          </w:p>
        </w:tc>
        <w:tc>
          <w:tcPr>
            <w:tcW w:w="760"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P&gt;t</w:t>
            </w:r>
          </w:p>
        </w:tc>
        <w:tc>
          <w:tcPr>
            <w:tcW w:w="1275"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[95% Conf.</w:t>
            </w:r>
          </w:p>
        </w:tc>
        <w:tc>
          <w:tcPr>
            <w:tcW w:w="997"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Interval]</w:t>
            </w:r>
          </w:p>
        </w:tc>
      </w:tr>
      <w:tr w:rsidR="00091987" w:rsidRPr="000B1296" w:rsidTr="00691C36">
        <w:trPr>
          <w:trHeight w:val="300"/>
          <w:jc w:val="center"/>
        </w:trPr>
        <w:tc>
          <w:tcPr>
            <w:tcW w:w="3969" w:type="dxa"/>
            <w:gridSpan w:val="3"/>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 xml:space="preserve">Lower </w:t>
            </w:r>
            <w:r>
              <w:rPr>
                <w:rFonts w:ascii="Calibri" w:eastAsia="Times New Roman" w:hAnsi="Calibri" w:cs="Times New Roman"/>
                <w:color w:val="000000"/>
                <w:lang w:eastAsia="en-AU"/>
              </w:rPr>
              <w:t>Participation</w:t>
            </w:r>
            <w:r w:rsidRPr="000B1296">
              <w:rPr>
                <w:rFonts w:ascii="Calibri" w:eastAsia="Times New Roman" w:hAnsi="Calibri" w:cs="Times New Roman"/>
                <w:color w:val="000000"/>
                <w:lang w:eastAsia="en-AU"/>
              </w:rPr>
              <w:t xml:space="preserve">  ("Untreated")</w:t>
            </w:r>
          </w:p>
        </w:tc>
        <w:tc>
          <w:tcPr>
            <w:tcW w:w="718"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5.103</w:t>
            </w:r>
          </w:p>
        </w:tc>
        <w:tc>
          <w:tcPr>
            <w:tcW w:w="1134"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0.031</w:t>
            </w:r>
          </w:p>
        </w:tc>
        <w:tc>
          <w:tcPr>
            <w:tcW w:w="941"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162.140</w:t>
            </w:r>
          </w:p>
        </w:tc>
        <w:tc>
          <w:tcPr>
            <w:tcW w:w="760"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0.000</w:t>
            </w:r>
          </w:p>
        </w:tc>
        <w:tc>
          <w:tcPr>
            <w:tcW w:w="1275"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5.041</w:t>
            </w:r>
          </w:p>
        </w:tc>
        <w:tc>
          <w:tcPr>
            <w:tcW w:w="997" w:type="dxa"/>
            <w:tcBorders>
              <w:top w:val="nil"/>
              <w:left w:val="nil"/>
              <w:bottom w:val="nil"/>
              <w:right w:val="nil"/>
            </w:tcBorders>
            <w:shd w:val="clear" w:color="D9D9D9" w:fill="D9D9D9"/>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5.165</w:t>
            </w:r>
          </w:p>
        </w:tc>
      </w:tr>
      <w:tr w:rsidR="00091987" w:rsidRPr="000B1296" w:rsidTr="00691C36">
        <w:trPr>
          <w:trHeight w:val="300"/>
          <w:jc w:val="center"/>
        </w:trPr>
        <w:tc>
          <w:tcPr>
            <w:tcW w:w="3686"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 xml:space="preserve">Higher </w:t>
            </w:r>
            <w:r>
              <w:rPr>
                <w:rFonts w:ascii="Calibri" w:eastAsia="Times New Roman" w:hAnsi="Calibri" w:cs="Times New Roman"/>
                <w:color w:val="000000"/>
                <w:lang w:eastAsia="en-AU"/>
              </w:rPr>
              <w:t>Participation</w:t>
            </w:r>
            <w:r w:rsidRPr="000B1296">
              <w:rPr>
                <w:rFonts w:ascii="Calibri" w:eastAsia="Times New Roman" w:hAnsi="Calibri" w:cs="Times New Roman"/>
                <w:color w:val="000000"/>
                <w:lang w:eastAsia="en-AU"/>
              </w:rPr>
              <w:t xml:space="preserve">  ("Treated")</w:t>
            </w:r>
          </w:p>
        </w:tc>
        <w:tc>
          <w:tcPr>
            <w:tcW w:w="1001" w:type="dxa"/>
            <w:gridSpan w:val="3"/>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5.360</w:t>
            </w:r>
          </w:p>
        </w:tc>
        <w:tc>
          <w:tcPr>
            <w:tcW w:w="1134"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0.018</w:t>
            </w:r>
          </w:p>
        </w:tc>
        <w:tc>
          <w:tcPr>
            <w:tcW w:w="941"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295.980</w:t>
            </w:r>
          </w:p>
        </w:tc>
        <w:tc>
          <w:tcPr>
            <w:tcW w:w="760"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0.000</w:t>
            </w:r>
          </w:p>
        </w:tc>
        <w:tc>
          <w:tcPr>
            <w:tcW w:w="1275"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5.325</w:t>
            </w:r>
          </w:p>
        </w:tc>
        <w:tc>
          <w:tcPr>
            <w:tcW w:w="997" w:type="dxa"/>
            <w:tcBorders>
              <w:top w:val="nil"/>
              <w:left w:val="nil"/>
              <w:bottom w:val="nil"/>
              <w:right w:val="nil"/>
            </w:tcBorders>
            <w:shd w:val="clear" w:color="auto" w:fill="auto"/>
            <w:noWrap/>
            <w:vAlign w:val="bottom"/>
            <w:hideMark/>
          </w:tcPr>
          <w:p w:rsidR="00091987" w:rsidRPr="000B1296" w:rsidRDefault="00091987" w:rsidP="00691C36">
            <w:pPr>
              <w:spacing w:after="0" w:line="240" w:lineRule="auto"/>
              <w:jc w:val="center"/>
              <w:rPr>
                <w:rFonts w:ascii="Calibri" w:eastAsia="Times New Roman" w:hAnsi="Calibri" w:cs="Times New Roman"/>
                <w:color w:val="000000"/>
                <w:lang w:eastAsia="en-AU"/>
              </w:rPr>
            </w:pPr>
            <w:r w:rsidRPr="000B1296">
              <w:rPr>
                <w:rFonts w:ascii="Calibri" w:eastAsia="Times New Roman" w:hAnsi="Calibri" w:cs="Times New Roman"/>
                <w:color w:val="000000"/>
                <w:lang w:eastAsia="en-AU"/>
              </w:rPr>
              <w:t>5.396</w:t>
            </w:r>
          </w:p>
        </w:tc>
      </w:tr>
      <w:tr w:rsidR="00091987" w:rsidRPr="000B1296" w:rsidTr="00691C36">
        <w:trPr>
          <w:trHeight w:val="300"/>
          <w:jc w:val="center"/>
        </w:trPr>
        <w:tc>
          <w:tcPr>
            <w:tcW w:w="3686" w:type="dxa"/>
            <w:tcBorders>
              <w:top w:val="nil"/>
              <w:left w:val="nil"/>
              <w:bottom w:val="single" w:sz="4" w:space="0" w:color="000000"/>
              <w:right w:val="nil"/>
            </w:tcBorders>
            <w:shd w:val="clear" w:color="D9D9D9" w:fill="D9D9D9"/>
            <w:noWrap/>
            <w:vAlign w:val="bottom"/>
            <w:hideMark/>
          </w:tcPr>
          <w:p w:rsidR="00091987" w:rsidRPr="001279F9" w:rsidRDefault="00091987" w:rsidP="007E0898">
            <w:pPr>
              <w:spacing w:after="0" w:line="240" w:lineRule="auto"/>
              <w:rPr>
                <w:rFonts w:ascii="Calibri" w:eastAsia="Times New Roman" w:hAnsi="Calibri" w:cs="Times New Roman"/>
                <w:b/>
                <w:color w:val="000000"/>
                <w:lang w:eastAsia="en-AU"/>
              </w:rPr>
            </w:pPr>
            <w:r w:rsidRPr="001279F9">
              <w:rPr>
                <w:rFonts w:ascii="Calibri" w:eastAsia="Times New Roman" w:hAnsi="Calibri" w:cs="Times New Roman"/>
                <w:b/>
                <w:color w:val="000000"/>
                <w:lang w:eastAsia="en-AU"/>
              </w:rPr>
              <w:t>Highe</w:t>
            </w:r>
            <w:r>
              <w:rPr>
                <w:rFonts w:ascii="Calibri" w:eastAsia="Times New Roman" w:hAnsi="Calibri" w:cs="Times New Roman"/>
                <w:b/>
                <w:color w:val="000000"/>
                <w:lang w:eastAsia="en-AU"/>
              </w:rPr>
              <w:t>r vs Lower Participation (1 vs</w:t>
            </w:r>
            <w:r w:rsidRPr="001279F9">
              <w:rPr>
                <w:rFonts w:ascii="Calibri" w:eastAsia="Times New Roman" w:hAnsi="Calibri" w:cs="Times New Roman"/>
                <w:b/>
                <w:color w:val="000000"/>
                <w:lang w:eastAsia="en-AU"/>
              </w:rPr>
              <w:t>0)</w:t>
            </w:r>
          </w:p>
        </w:tc>
        <w:tc>
          <w:tcPr>
            <w:tcW w:w="1001" w:type="dxa"/>
            <w:gridSpan w:val="3"/>
            <w:tcBorders>
              <w:top w:val="nil"/>
              <w:left w:val="nil"/>
              <w:bottom w:val="single" w:sz="4" w:space="0" w:color="000000"/>
              <w:right w:val="nil"/>
            </w:tcBorders>
            <w:shd w:val="clear" w:color="D9D9D9" w:fill="D9D9D9"/>
            <w:noWrap/>
            <w:vAlign w:val="bottom"/>
            <w:hideMark/>
          </w:tcPr>
          <w:p w:rsidR="00091987" w:rsidRPr="001279F9" w:rsidRDefault="00091987" w:rsidP="00691C36">
            <w:pPr>
              <w:spacing w:after="0" w:line="240" w:lineRule="auto"/>
              <w:jc w:val="center"/>
              <w:rPr>
                <w:rFonts w:ascii="Calibri" w:eastAsia="Times New Roman" w:hAnsi="Calibri" w:cs="Times New Roman"/>
                <w:b/>
                <w:color w:val="000000"/>
                <w:lang w:eastAsia="en-AU"/>
              </w:rPr>
            </w:pPr>
            <w:r w:rsidRPr="001279F9">
              <w:rPr>
                <w:rFonts w:ascii="Calibri" w:eastAsia="Times New Roman" w:hAnsi="Calibri" w:cs="Times New Roman"/>
                <w:b/>
                <w:color w:val="000000"/>
                <w:lang w:eastAsia="en-AU"/>
              </w:rPr>
              <w:t>0.257</w:t>
            </w:r>
          </w:p>
        </w:tc>
        <w:tc>
          <w:tcPr>
            <w:tcW w:w="1134" w:type="dxa"/>
            <w:tcBorders>
              <w:top w:val="nil"/>
              <w:left w:val="nil"/>
              <w:bottom w:val="single" w:sz="4" w:space="0" w:color="000000"/>
              <w:right w:val="nil"/>
            </w:tcBorders>
            <w:shd w:val="clear" w:color="D9D9D9" w:fill="D9D9D9"/>
            <w:noWrap/>
            <w:vAlign w:val="bottom"/>
            <w:hideMark/>
          </w:tcPr>
          <w:p w:rsidR="00091987" w:rsidRPr="001279F9" w:rsidRDefault="00091987" w:rsidP="00691C36">
            <w:pPr>
              <w:spacing w:after="0" w:line="240" w:lineRule="auto"/>
              <w:jc w:val="center"/>
              <w:rPr>
                <w:rFonts w:ascii="Calibri" w:eastAsia="Times New Roman" w:hAnsi="Calibri" w:cs="Times New Roman"/>
                <w:b/>
                <w:color w:val="000000"/>
                <w:lang w:eastAsia="en-AU"/>
              </w:rPr>
            </w:pPr>
            <w:r w:rsidRPr="001279F9">
              <w:rPr>
                <w:rFonts w:ascii="Calibri" w:eastAsia="Times New Roman" w:hAnsi="Calibri" w:cs="Times New Roman"/>
                <w:b/>
                <w:color w:val="000000"/>
                <w:lang w:eastAsia="en-AU"/>
              </w:rPr>
              <w:t>0.037</w:t>
            </w:r>
          </w:p>
        </w:tc>
        <w:tc>
          <w:tcPr>
            <w:tcW w:w="941" w:type="dxa"/>
            <w:tcBorders>
              <w:top w:val="nil"/>
              <w:left w:val="nil"/>
              <w:bottom w:val="single" w:sz="4" w:space="0" w:color="000000"/>
              <w:right w:val="nil"/>
            </w:tcBorders>
            <w:shd w:val="clear" w:color="D9D9D9" w:fill="D9D9D9"/>
            <w:noWrap/>
            <w:vAlign w:val="bottom"/>
            <w:hideMark/>
          </w:tcPr>
          <w:p w:rsidR="00091987" w:rsidRPr="001279F9" w:rsidRDefault="00091987" w:rsidP="00691C36">
            <w:pPr>
              <w:spacing w:after="0" w:line="240" w:lineRule="auto"/>
              <w:jc w:val="center"/>
              <w:rPr>
                <w:rFonts w:ascii="Calibri" w:eastAsia="Times New Roman" w:hAnsi="Calibri" w:cs="Times New Roman"/>
                <w:b/>
                <w:color w:val="000000"/>
                <w:lang w:eastAsia="en-AU"/>
              </w:rPr>
            </w:pPr>
          </w:p>
        </w:tc>
        <w:tc>
          <w:tcPr>
            <w:tcW w:w="760" w:type="dxa"/>
            <w:tcBorders>
              <w:top w:val="nil"/>
              <w:left w:val="nil"/>
              <w:bottom w:val="single" w:sz="4" w:space="0" w:color="000000"/>
              <w:right w:val="nil"/>
            </w:tcBorders>
            <w:shd w:val="clear" w:color="D9D9D9" w:fill="D9D9D9"/>
            <w:noWrap/>
            <w:vAlign w:val="bottom"/>
            <w:hideMark/>
          </w:tcPr>
          <w:p w:rsidR="00091987" w:rsidRPr="001279F9" w:rsidRDefault="00091987" w:rsidP="00691C36">
            <w:pPr>
              <w:spacing w:after="0" w:line="240" w:lineRule="auto"/>
              <w:jc w:val="center"/>
              <w:rPr>
                <w:rFonts w:ascii="Times New Roman" w:eastAsia="Times New Roman" w:hAnsi="Times New Roman" w:cs="Times New Roman"/>
                <w:b/>
                <w:sz w:val="20"/>
                <w:szCs w:val="20"/>
                <w:lang w:eastAsia="en-AU"/>
              </w:rPr>
            </w:pPr>
          </w:p>
        </w:tc>
        <w:tc>
          <w:tcPr>
            <w:tcW w:w="1275" w:type="dxa"/>
            <w:tcBorders>
              <w:top w:val="nil"/>
              <w:left w:val="nil"/>
              <w:bottom w:val="single" w:sz="4" w:space="0" w:color="000000"/>
              <w:right w:val="nil"/>
            </w:tcBorders>
            <w:shd w:val="clear" w:color="D9D9D9" w:fill="D9D9D9"/>
            <w:noWrap/>
            <w:vAlign w:val="bottom"/>
            <w:hideMark/>
          </w:tcPr>
          <w:p w:rsidR="00091987" w:rsidRPr="001279F9" w:rsidRDefault="00091987" w:rsidP="00691C36">
            <w:pPr>
              <w:spacing w:after="0" w:line="240" w:lineRule="auto"/>
              <w:jc w:val="center"/>
              <w:rPr>
                <w:rFonts w:ascii="Calibri" w:eastAsia="Times New Roman" w:hAnsi="Calibri" w:cs="Times New Roman"/>
                <w:b/>
                <w:color w:val="000000"/>
                <w:lang w:eastAsia="en-AU"/>
              </w:rPr>
            </w:pPr>
            <w:r w:rsidRPr="001279F9">
              <w:rPr>
                <w:rFonts w:ascii="Calibri" w:eastAsia="Times New Roman" w:hAnsi="Calibri" w:cs="Times New Roman"/>
                <w:b/>
                <w:color w:val="000000"/>
                <w:lang w:eastAsia="en-AU"/>
              </w:rPr>
              <w:t>0.186</w:t>
            </w:r>
          </w:p>
        </w:tc>
        <w:tc>
          <w:tcPr>
            <w:tcW w:w="997" w:type="dxa"/>
            <w:tcBorders>
              <w:top w:val="nil"/>
              <w:left w:val="nil"/>
              <w:bottom w:val="single" w:sz="4" w:space="0" w:color="000000"/>
              <w:right w:val="nil"/>
            </w:tcBorders>
            <w:shd w:val="clear" w:color="D9D9D9" w:fill="D9D9D9"/>
            <w:noWrap/>
            <w:vAlign w:val="bottom"/>
            <w:hideMark/>
          </w:tcPr>
          <w:p w:rsidR="00091987" w:rsidRPr="001279F9" w:rsidRDefault="00091987" w:rsidP="00691C36">
            <w:pPr>
              <w:spacing w:after="0" w:line="240" w:lineRule="auto"/>
              <w:jc w:val="center"/>
              <w:rPr>
                <w:rFonts w:ascii="Calibri" w:eastAsia="Times New Roman" w:hAnsi="Calibri" w:cs="Times New Roman"/>
                <w:b/>
                <w:color w:val="000000"/>
                <w:lang w:eastAsia="en-AU"/>
              </w:rPr>
            </w:pPr>
            <w:r w:rsidRPr="001279F9">
              <w:rPr>
                <w:rFonts w:ascii="Calibri" w:eastAsia="Times New Roman" w:hAnsi="Calibri" w:cs="Times New Roman"/>
                <w:b/>
                <w:color w:val="000000"/>
                <w:lang w:eastAsia="en-AU"/>
              </w:rPr>
              <w:t>0.329</w:t>
            </w:r>
          </w:p>
        </w:tc>
      </w:tr>
    </w:tbl>
    <w:p w:rsidR="00091987" w:rsidRPr="00D80384" w:rsidRDefault="00091987" w:rsidP="00DB593B">
      <w:pPr>
        <w:spacing w:before="360"/>
        <w:rPr>
          <w:noProof/>
        </w:rPr>
      </w:pPr>
      <w:r w:rsidRPr="00D80384">
        <w:rPr>
          <w:noProof/>
        </w:rPr>
        <w:t xml:space="preserve">A visual representation of  continuous rather than the binary measurement of treatment effect (with  controls for both contexts and  covariates displayed below in  marginsplot format. The effect of the composite measure of  Learnline is shown in  Fig.3(a), followed by that for Collaborate Participation Fig.3(b). The  tabulated output for these regressions are available in Tables A.4and A.5 of the Technical Appendix).  </w:t>
      </w:r>
    </w:p>
    <w:p w:rsidR="00091987" w:rsidRPr="00D80384" w:rsidRDefault="00091987" w:rsidP="005D606E">
      <w:pPr>
        <w:pStyle w:val="Figure"/>
        <w:rPr>
          <w:noProof/>
        </w:rPr>
      </w:pPr>
      <w:bookmarkStart w:id="17" w:name="_Toc517439494"/>
      <w:r w:rsidRPr="00D80384">
        <w:rPr>
          <w:noProof/>
        </w:rPr>
        <w:t xml:space="preserve">Fig. 3 (a) Marginsplot of Grade Scale on Learnline Activity, Covariates and Pedagogic Context </w:t>
      </w:r>
      <w:r w:rsidR="00691C36">
        <w:rPr>
          <w:noProof/>
        </w:rPr>
        <w:br/>
      </w:r>
      <w:r w:rsidRPr="00D80384">
        <w:rPr>
          <w:noProof/>
        </w:rPr>
        <w:t xml:space="preserve">(n=8,970; R2 adj. </w:t>
      </w:r>
      <w:r>
        <w:rPr>
          <w:noProof/>
        </w:rPr>
        <w:t>= .23)</w:t>
      </w:r>
      <w:bookmarkEnd w:id="17"/>
    </w:p>
    <w:p w:rsidR="00091987" w:rsidRDefault="00091987" w:rsidP="00DB593B">
      <w:pPr>
        <w:spacing w:after="0"/>
        <w:jc w:val="center"/>
        <w:rPr>
          <w:b/>
          <w:noProof/>
        </w:rPr>
      </w:pPr>
      <w:r>
        <w:rPr>
          <w:noProof/>
          <w:lang w:eastAsia="en-AU"/>
        </w:rPr>
        <w:drawing>
          <wp:inline distT="0" distB="0" distL="0" distR="0" wp14:anchorId="5F34A2D5" wp14:editId="0157A60A">
            <wp:extent cx="3578225" cy="2602230"/>
            <wp:effectExtent l="0" t="0" r="3175" b="762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8225" cy="2602230"/>
                    </a:xfrm>
                    <a:prstGeom prst="rect">
                      <a:avLst/>
                    </a:prstGeom>
                    <a:noFill/>
                    <a:ln>
                      <a:noFill/>
                    </a:ln>
                  </pic:spPr>
                </pic:pic>
              </a:graphicData>
            </a:graphic>
          </wp:inline>
        </w:drawing>
      </w:r>
    </w:p>
    <w:p w:rsidR="00091987" w:rsidRPr="00D80384" w:rsidRDefault="00091987" w:rsidP="00691C36">
      <w:pPr>
        <w:pStyle w:val="Figure"/>
        <w:rPr>
          <w:noProof/>
        </w:rPr>
      </w:pPr>
      <w:bookmarkStart w:id="18" w:name="_Toc517439495"/>
      <w:r w:rsidRPr="00D80384">
        <w:rPr>
          <w:noProof/>
        </w:rPr>
        <w:lastRenderedPageBreak/>
        <w:t>Fig. 3(b) Marginsplot of Grade Scale on Collaborate Activity, Covariates Context Terms</w:t>
      </w:r>
      <w:r w:rsidRPr="00943BF3">
        <w:rPr>
          <w:noProof/>
        </w:rPr>
        <w:t>*</w:t>
      </w:r>
      <w:r w:rsidR="006F140A">
        <w:rPr>
          <w:noProof/>
        </w:rPr>
        <w:br/>
      </w:r>
      <w:r w:rsidRPr="00D80384">
        <w:rPr>
          <w:noProof/>
        </w:rPr>
        <w:t>(n=3,898; R2 adj. = .17)</w:t>
      </w:r>
      <w:bookmarkEnd w:id="18"/>
    </w:p>
    <w:p w:rsidR="00091987" w:rsidRDefault="00091987" w:rsidP="00091987">
      <w:pPr>
        <w:spacing w:after="0"/>
        <w:jc w:val="center"/>
        <w:rPr>
          <w:b/>
          <w:noProof/>
        </w:rPr>
      </w:pPr>
      <w:r>
        <w:rPr>
          <w:noProof/>
          <w:lang w:eastAsia="en-AU"/>
        </w:rPr>
        <w:drawing>
          <wp:inline distT="0" distB="0" distL="0" distR="0" wp14:anchorId="28208439" wp14:editId="027D3E8D">
            <wp:extent cx="3578400" cy="2602800"/>
            <wp:effectExtent l="0" t="0" r="3175"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3578400" cy="2602800"/>
                    </a:xfrm>
                    <a:prstGeom prst="rect">
                      <a:avLst/>
                    </a:prstGeom>
                  </pic:spPr>
                </pic:pic>
              </a:graphicData>
            </a:graphic>
          </wp:inline>
        </w:drawing>
      </w:r>
    </w:p>
    <w:p w:rsidR="00091987" w:rsidRDefault="00091987" w:rsidP="00091987">
      <w:pPr>
        <w:rPr>
          <w:noProof/>
        </w:rPr>
      </w:pPr>
    </w:p>
    <w:p w:rsidR="00091987" w:rsidRPr="008257D9" w:rsidRDefault="00091987" w:rsidP="00091987">
      <w:pPr>
        <w:rPr>
          <w:noProof/>
        </w:rPr>
      </w:pPr>
      <w:r w:rsidRPr="008257D9">
        <w:rPr>
          <w:noProof/>
        </w:rPr>
        <w:t xml:space="preserve">When compared with results for the previous simple bivariate regression, these tables and charts show that the addition of the contextual and covariate controls has produced: </w:t>
      </w:r>
    </w:p>
    <w:p w:rsidR="00091987" w:rsidRPr="008257D9" w:rsidRDefault="00091987" w:rsidP="008209C9">
      <w:pPr>
        <w:pStyle w:val="ListParagraph"/>
        <w:numPr>
          <w:ilvl w:val="0"/>
          <w:numId w:val="2"/>
        </w:numPr>
        <w:spacing w:after="200"/>
        <w:ind w:left="714" w:hanging="357"/>
        <w:rPr>
          <w:noProof/>
        </w:rPr>
      </w:pPr>
      <w:r w:rsidRPr="008257D9">
        <w:rPr>
          <w:b/>
          <w:noProof/>
        </w:rPr>
        <w:t>A pronounced increase</w:t>
      </w:r>
      <w:r w:rsidRPr="008257D9">
        <w:rPr>
          <w:noProof/>
        </w:rPr>
        <w:t xml:space="preserve"> in overall  variance explained,from about 10% to 22% for the Learnline sample and an fourfold increase from about 4% to 17% for Collaborate (Appendix Tables A4 &amp; A5); </w:t>
      </w:r>
    </w:p>
    <w:p w:rsidR="00091987" w:rsidRPr="008257D9" w:rsidRDefault="00091987" w:rsidP="008209C9">
      <w:pPr>
        <w:pStyle w:val="ListParagraph"/>
        <w:numPr>
          <w:ilvl w:val="0"/>
          <w:numId w:val="2"/>
        </w:numPr>
        <w:spacing w:after="200"/>
        <w:ind w:left="714" w:hanging="357"/>
        <w:rPr>
          <w:noProof/>
        </w:rPr>
      </w:pPr>
      <w:r w:rsidRPr="008257D9">
        <w:rPr>
          <w:b/>
          <w:noProof/>
        </w:rPr>
        <w:t>A slight decrease</w:t>
      </w:r>
      <w:r w:rsidRPr="008257D9">
        <w:rPr>
          <w:noProof/>
        </w:rPr>
        <w:t xml:space="preserve"> in the marginal effect of  for Learnline Activity  (from .6 to .49 for and from .34 to .26 for Collaborate Participation (Table 2 above);</w:t>
      </w:r>
    </w:p>
    <w:p w:rsidR="00091987" w:rsidRPr="008257D9" w:rsidRDefault="00091987" w:rsidP="008209C9">
      <w:pPr>
        <w:pStyle w:val="ListParagraph"/>
        <w:numPr>
          <w:ilvl w:val="0"/>
          <w:numId w:val="2"/>
        </w:numPr>
        <w:spacing w:after="200"/>
        <w:ind w:left="714" w:hanging="357"/>
        <w:rPr>
          <w:noProof/>
        </w:rPr>
      </w:pPr>
      <w:r w:rsidRPr="008257D9">
        <w:rPr>
          <w:b/>
          <w:noProof/>
        </w:rPr>
        <w:t>Relative stability</w:t>
      </w:r>
      <w:r w:rsidRPr="008257D9">
        <w:rPr>
          <w:noProof/>
        </w:rPr>
        <w:t xml:space="preserve"> in the predicted Numerical Grade Awarded, particularly for the “higher activty/Participation” groups (cf Table 1 and Table 2 above), where expected average appear to hit a “ceiling” of a mid-Credit level; and</w:t>
      </w:r>
    </w:p>
    <w:p w:rsidR="00091987" w:rsidRPr="008257D9" w:rsidRDefault="00091987" w:rsidP="008209C9">
      <w:pPr>
        <w:pStyle w:val="ListParagraph"/>
        <w:numPr>
          <w:ilvl w:val="0"/>
          <w:numId w:val="2"/>
        </w:numPr>
        <w:spacing w:after="200"/>
        <w:ind w:left="714" w:hanging="357"/>
        <w:rPr>
          <w:noProof/>
        </w:rPr>
      </w:pPr>
      <w:r w:rsidRPr="008257D9">
        <w:rPr>
          <w:b/>
          <w:noProof/>
        </w:rPr>
        <w:t>Evidence of heterogeneity</w:t>
      </w:r>
      <w:r w:rsidRPr="008257D9">
        <w:rPr>
          <w:noProof/>
        </w:rPr>
        <w:t xml:space="preserve"> in online Activity/Participation effect between Learnline and for Collaborate samples. Whereas the patterns for Learnline tend to cluster within Type of Unit and all  four trajectories, those for Collaborate, show much lower gains (and perhaps a slight decline especially internal attendance sample for the “Internal and Common” subsample.</w:t>
      </w:r>
    </w:p>
    <w:p w:rsidR="00091987" w:rsidRPr="00F80EEA" w:rsidRDefault="00091987" w:rsidP="00091987">
      <w:pPr>
        <w:rPr>
          <w:noProof/>
        </w:rPr>
      </w:pPr>
      <w:r w:rsidRPr="00F80EEA">
        <w:rPr>
          <w:noProof/>
        </w:rPr>
        <w:t>Despite these clear differences in the pattern of the context-based slopes for each, there is overwhelming evidence,even after adjustment for a range of student background attributes, of the positive effect of both types of increases in online Activit</w:t>
      </w:r>
      <w:r>
        <w:rPr>
          <w:noProof/>
        </w:rPr>
        <w:t>y on the numeric grade awarded</w:t>
      </w:r>
      <w:r w:rsidRPr="00F80EEA">
        <w:rPr>
          <w:noProof/>
        </w:rPr>
        <w:t>.</w:t>
      </w:r>
    </w:p>
    <w:p w:rsidR="00091987" w:rsidRPr="00F82F4D" w:rsidRDefault="00091987" w:rsidP="00F82F4D">
      <w:pPr>
        <w:rPr>
          <w:b/>
          <w:noProof/>
          <w:sz w:val="24"/>
        </w:rPr>
      </w:pPr>
      <w:r w:rsidRPr="00F82F4D">
        <w:rPr>
          <w:b/>
          <w:noProof/>
          <w:sz w:val="24"/>
        </w:rPr>
        <w:t xml:space="preserve">Summary: Regression Analysis </w:t>
      </w:r>
    </w:p>
    <w:p w:rsidR="00091987" w:rsidRDefault="00091987" w:rsidP="00091987">
      <w:pPr>
        <w:rPr>
          <w:noProof/>
        </w:rPr>
      </w:pPr>
      <w:r w:rsidRPr="00F80EEA">
        <w:rPr>
          <w:noProof/>
        </w:rPr>
        <w:t>As for the simpler, unadjusted results in Fig. 2, the higher levels of online activity or participation show a consistent pattern of significa</w:t>
      </w:r>
      <w:r w:rsidR="00644917">
        <w:rPr>
          <w:noProof/>
        </w:rPr>
        <w:t>n</w:t>
      </w:r>
      <w:r w:rsidRPr="00F80EEA">
        <w:rPr>
          <w:noProof/>
        </w:rPr>
        <w:t xml:space="preserve">t marginal gains in student success as indexed by increases (“gains”) in an expectation of awarded grades. Further interpretation of these differences, within and between the marginal plots merits further investigation, since the estimated effects are no doubt subject to variation in levels of exposure across unit types, promotion and integration of online learning within modes of delivery and assessment. It now remains to explore the possibility that these gains are largely due to the effect of unobserved factors which depend on the association of student propensity to engage online with those traits or dispositions </w:t>
      </w:r>
      <w:r w:rsidRPr="00F80EEA">
        <w:rPr>
          <w:noProof/>
        </w:rPr>
        <w:lastRenderedPageBreak/>
        <w:t>that predict higher levels of academic performance. Unless these hidden effects can be detected and corrected, any attribution of causal effect on online engagement would rest</w:t>
      </w:r>
      <w:r>
        <w:rPr>
          <w:noProof/>
        </w:rPr>
        <w:t xml:space="preserve"> on untested assumptions.</w:t>
      </w:r>
    </w:p>
    <w:p w:rsidR="00091987" w:rsidRPr="006F1ED5" w:rsidRDefault="00691C36" w:rsidP="00691C36">
      <w:pPr>
        <w:pStyle w:val="Heading2"/>
        <w:rPr>
          <w:noProof/>
        </w:rPr>
      </w:pPr>
      <w:bookmarkStart w:id="19" w:name="_Toc517439487"/>
      <w:r>
        <w:rPr>
          <w:noProof/>
        </w:rPr>
        <w:t xml:space="preserve">2. </w:t>
      </w:r>
      <w:r w:rsidR="00091987" w:rsidRPr="006F1ED5">
        <w:rPr>
          <w:noProof/>
        </w:rPr>
        <w:t>Correcting for Endogenous Treatment  Bias: From Correlation to Causality</w:t>
      </w:r>
      <w:bookmarkEnd w:id="19"/>
      <w:r w:rsidR="00091987" w:rsidRPr="006F1ED5">
        <w:rPr>
          <w:noProof/>
        </w:rPr>
        <w:t xml:space="preserve"> </w:t>
      </w:r>
    </w:p>
    <w:p w:rsidR="00091987" w:rsidRPr="006F1ED5" w:rsidRDefault="00091987" w:rsidP="00091987">
      <w:pPr>
        <w:rPr>
          <w:noProof/>
        </w:rPr>
      </w:pPr>
      <w:r w:rsidRPr="006F1ED5">
        <w:rPr>
          <w:noProof/>
        </w:rPr>
        <w:t xml:space="preserve">Before we may draw any causal inference from these results, we must be able to take into account hidden sources of bias due to the presence of unmeasured, “non-ignorable” confounders. Without testing for the endogenous effects of the unobserved “confounders” , we are in danger of producing unreliable and inconsistent findings, since these factors may at the same time be associated (either negatively or positively) with both levels of participation in online activity and  with academic aptitude and commitment. In technical terms, these unobserved variables can produce what is  known as “endogenous treatment” effects, those that appear to be embedded within, rather than external to, the predictive model set out in Fig.  1. </w:t>
      </w:r>
    </w:p>
    <w:p w:rsidR="00091987" w:rsidRPr="006F1ED5" w:rsidRDefault="00091987" w:rsidP="00091987">
      <w:pPr>
        <w:rPr>
          <w:noProof/>
        </w:rPr>
      </w:pPr>
      <w:r w:rsidRPr="006F1ED5">
        <w:rPr>
          <w:noProof/>
        </w:rPr>
        <w:t>What, then, are the available means for detecting and correcting for biases due to the effect of both unobserved, as well as observed and measured, “confounders”?</w:t>
      </w:r>
    </w:p>
    <w:p w:rsidR="00091987" w:rsidRPr="006F1ED5" w:rsidRDefault="00091987" w:rsidP="00091987">
      <w:pPr>
        <w:rPr>
          <w:noProof/>
        </w:rPr>
      </w:pPr>
      <w:r w:rsidRPr="00644917">
        <w:rPr>
          <w:b/>
          <w:noProof/>
        </w:rPr>
        <w:t>(a) Exploring the counterfactual framework</w:t>
      </w:r>
      <w:r w:rsidR="00644917">
        <w:rPr>
          <w:noProof/>
        </w:rPr>
        <w:t>.</w:t>
      </w:r>
      <w:r w:rsidRPr="006F1ED5">
        <w:rPr>
          <w:noProof/>
        </w:rPr>
        <w:t xml:space="preserve"> Fortunately, recent statistical methods (such as the counterfactual framework, sometimes called the potential outcomes mode</w:t>
      </w:r>
      <w:r w:rsidR="00644917">
        <w:rPr>
          <w:noProof/>
        </w:rPr>
        <w:t>l</w:t>
      </w:r>
      <w:r w:rsidRPr="006F1ED5">
        <w:rPr>
          <w:noProof/>
        </w:rPr>
        <w:t xml:space="preserve">) are available that allow the analyst to estimate, and correct for ,this source of bias by simulating the conditions of random assignment to levels of Activity. </w:t>
      </w:r>
    </w:p>
    <w:p w:rsidR="00091987" w:rsidRDefault="00091987" w:rsidP="00091987">
      <w:pPr>
        <w:rPr>
          <w:noProof/>
        </w:rPr>
      </w:pPr>
      <w:r w:rsidRPr="006F1ED5">
        <w:rPr>
          <w:noProof/>
        </w:rPr>
        <w:t>Since in this study a random assignment of students to treatment conditions is either unfeasible</w:t>
      </w:r>
      <w:r w:rsidR="00644917">
        <w:rPr>
          <w:noProof/>
        </w:rPr>
        <w:t xml:space="preserve"> </w:t>
      </w:r>
      <w:r w:rsidRPr="006F1ED5">
        <w:rPr>
          <w:noProof/>
        </w:rPr>
        <w:t>or undesirable, the counterfactual model goes beyond the traditional regression questioning of the regression techniques reported above, to ask the more precise question that permits greater confidence in making causal inferences. Since the range of covariates that we have observed is limited to those available in official data records , before any causal conclusions are drawn, we should  therefore control for the possible effects a host of unmeasured  confounders that may be influencing the observed relationship between levels of online Activity and student success measured by Grade Awarded</w:t>
      </w:r>
      <w:r>
        <w:rPr>
          <w:noProof/>
        </w:rPr>
        <w:t>.</w:t>
      </w:r>
    </w:p>
    <w:p w:rsidR="00091987" w:rsidRPr="006F1ED5" w:rsidRDefault="00091987" w:rsidP="00091987">
      <w:pPr>
        <w:rPr>
          <w:noProof/>
        </w:rPr>
      </w:pPr>
      <w:r w:rsidRPr="006F1ED5">
        <w:rPr>
          <w:noProof/>
        </w:rPr>
        <w:t>The counterfactual framework employs ‘switching’ methods to estimate what might happen if the probabilities of student success for the ‘untreated’’(or low Activity)  group were applied to the outcome for the “treated” group. As Morgan and Winship (2015, pp. 13-14) explain:</w:t>
      </w:r>
    </w:p>
    <w:p w:rsidR="00091987" w:rsidRPr="006F1ED5" w:rsidRDefault="00091987" w:rsidP="00091987">
      <w:pPr>
        <w:rPr>
          <w:noProof/>
        </w:rPr>
      </w:pPr>
      <w:r w:rsidRPr="006F1ED5">
        <w:rPr>
          <w:noProof/>
        </w:rPr>
        <w:t>For example, rather than ask the question: Does obtaining a college degree increase an individual’s labor market earnings?, the counterfactual model encourages the researchers to ask two questions:</w:t>
      </w:r>
    </w:p>
    <w:p w:rsidR="00091987" w:rsidRPr="006F1ED5" w:rsidRDefault="00091987" w:rsidP="008209C9">
      <w:pPr>
        <w:pStyle w:val="ListParagraph"/>
        <w:numPr>
          <w:ilvl w:val="0"/>
          <w:numId w:val="3"/>
        </w:numPr>
        <w:spacing w:after="200" w:line="276" w:lineRule="auto"/>
        <w:ind w:left="714" w:hanging="357"/>
        <w:rPr>
          <w:noProof/>
        </w:rPr>
      </w:pPr>
      <w:r w:rsidRPr="006F1ED5">
        <w:rPr>
          <w:noProof/>
        </w:rPr>
        <w:t>If high school graduates had instead obtained college degrees, how much would there labo</w:t>
      </w:r>
      <w:r>
        <w:rPr>
          <w:noProof/>
        </w:rPr>
        <w:t>u</w:t>
      </w:r>
      <w:r w:rsidRPr="006F1ED5">
        <w:rPr>
          <w:noProof/>
        </w:rPr>
        <w:t>r market earnings have changed?</w:t>
      </w:r>
    </w:p>
    <w:p w:rsidR="00091987" w:rsidRPr="006F1ED5" w:rsidRDefault="00091987" w:rsidP="008209C9">
      <w:pPr>
        <w:pStyle w:val="ListParagraph"/>
        <w:numPr>
          <w:ilvl w:val="0"/>
          <w:numId w:val="3"/>
        </w:numPr>
        <w:spacing w:after="200" w:line="276" w:lineRule="auto"/>
        <w:contextualSpacing/>
        <w:rPr>
          <w:noProof/>
        </w:rPr>
      </w:pPr>
      <w:r w:rsidRPr="006F1ED5">
        <w:rPr>
          <w:noProof/>
        </w:rPr>
        <w:t>If college graduates had only obtained high school diplomas, how much would their labour market earnings have changed?</w:t>
      </w:r>
    </w:p>
    <w:p w:rsidR="00091987" w:rsidRPr="006F1ED5" w:rsidRDefault="00091987" w:rsidP="00091987">
      <w:pPr>
        <w:rPr>
          <w:noProof/>
        </w:rPr>
      </w:pPr>
      <w:r w:rsidRPr="006F1ED5">
        <w:rPr>
          <w:noProof/>
        </w:rPr>
        <w:t>This ‘switching’ provides two potential or counterfactual means for each treatment group, treated and untreated. The difference between these two potential means is called the Average Treatment effect (ATE). In this case, if we  replace “earnings” with “grades”, “high school graduates” with “low onine Activity/ participating groups” and “college degrees” with “high online activity groups”, then it shouild be possible to use this framework</w:t>
      </w:r>
      <w:r w:rsidR="00644917">
        <w:rPr>
          <w:noProof/>
        </w:rPr>
        <w:t xml:space="preserve"> to</w:t>
      </w:r>
      <w:r w:rsidRPr="006F1ED5">
        <w:rPr>
          <w:noProof/>
        </w:rPr>
        <w:t xml:space="preserve"> strip away the hidden factors in the regression model that predispose those students who are already well-positioned academically to be more active in online learning. By the same token, depending on the sign (positive or negative) of the relationship between these two types of influence, the degree and direction of these hidden factors may be more precisely identified and explored. </w:t>
      </w:r>
    </w:p>
    <w:p w:rsidR="00091987" w:rsidRPr="006F1ED5" w:rsidRDefault="00091987" w:rsidP="00091987">
      <w:pPr>
        <w:rPr>
          <w:noProof/>
        </w:rPr>
      </w:pPr>
      <w:r w:rsidRPr="006F1ED5">
        <w:rPr>
          <w:noProof/>
        </w:rPr>
        <w:lastRenderedPageBreak/>
        <w:t xml:space="preserve">The counterfactual model will be executed by the </w:t>
      </w:r>
      <w:r w:rsidRPr="006F1ED5">
        <w:rPr>
          <w:i/>
          <w:noProof/>
        </w:rPr>
        <w:t>etregress</w:t>
      </w:r>
      <w:r w:rsidRPr="006F1ED5">
        <w:rPr>
          <w:noProof/>
        </w:rPr>
        <w:t xml:space="preserve"> command (Stata 14 Treatment Effects Manual pp. 36-63). This is a linear endogenous treatment regression model estimated by Maximum Likelihood (ML) method, employing a binary treatment variable for online activity/ participation scored 0 and 1 as above</w:t>
      </w:r>
      <w:r w:rsidR="00644917">
        <w:rPr>
          <w:noProof/>
        </w:rPr>
        <w:t xml:space="preserve"> </w:t>
      </w:r>
      <w:r w:rsidRPr="006F1ED5">
        <w:rPr>
          <w:noProof/>
        </w:rPr>
        <w:t>for “untreated: and “treated” subsamples for both online types. As for the regression analyses reported in Tables 1 and 2, the cutoff point for the “untreated” group was set at zero or below</w:t>
      </w:r>
      <w:r>
        <w:rPr>
          <w:noProof/>
        </w:rPr>
        <w:t xml:space="preserve"> </w:t>
      </w:r>
      <w:r w:rsidRPr="006F1ED5">
        <w:rPr>
          <w:noProof/>
        </w:rPr>
        <w:t>for the log-transformed composite Learnline Activity measure and the bottom quartile of</w:t>
      </w:r>
      <w:r>
        <w:rPr>
          <w:noProof/>
        </w:rPr>
        <w:t xml:space="preserve"> </w:t>
      </w:r>
      <w:r w:rsidRPr="006F1ED5">
        <w:rPr>
          <w:noProof/>
        </w:rPr>
        <w:t>Collaborate Participation distribution (log transform of percentage of available sessions attended). In this analysis we will be also using the margins command to the full average treatment effect, allowing for interaction between treatment and the the four pedagogic contexts (Stata 14 T</w:t>
      </w:r>
      <w:r w:rsidR="00644917">
        <w:rPr>
          <w:noProof/>
        </w:rPr>
        <w:t>reatment Effects Manual, p. 42).</w:t>
      </w:r>
    </w:p>
    <w:p w:rsidR="00091987" w:rsidRDefault="00091987" w:rsidP="00091987">
      <w:pPr>
        <w:rPr>
          <w:noProof/>
        </w:rPr>
      </w:pPr>
      <w:r w:rsidRPr="006F1ED5">
        <w:rPr>
          <w:noProof/>
        </w:rPr>
        <w:t>The frequency for both treatment groups is shown in the Table 3, with further breakdown by pedagogic context frequencies available in Tables B.1 and B.2 in the Technical Appendix.</w:t>
      </w:r>
    </w:p>
    <w:p w:rsidR="00091987" w:rsidRPr="001D0965" w:rsidRDefault="00091987" w:rsidP="00644917">
      <w:pPr>
        <w:pStyle w:val="TableofFigures"/>
        <w:jc w:val="center"/>
      </w:pPr>
      <w:bookmarkStart w:id="20" w:name="_Toc517439509"/>
      <w:r w:rsidRPr="001D0965">
        <w:t>Table 3</w:t>
      </w:r>
      <w:r>
        <w:t xml:space="preserve"> </w:t>
      </w:r>
      <w:r w:rsidRPr="001D0965">
        <w:t xml:space="preserve">Treatment Groups for </w:t>
      </w:r>
      <w:proofErr w:type="spellStart"/>
      <w:r w:rsidRPr="001D0965">
        <w:t>Learnline</w:t>
      </w:r>
      <w:proofErr w:type="spellEnd"/>
      <w:r w:rsidRPr="001D0965">
        <w:t xml:space="preserve"> Activity and Collaborate Participation</w:t>
      </w:r>
      <w:bookmarkEnd w:id="20"/>
    </w:p>
    <w:tbl>
      <w:tblPr>
        <w:tblW w:w="5103" w:type="dxa"/>
        <w:jc w:val="center"/>
        <w:tblInd w:w="2115" w:type="dxa"/>
        <w:tblLook w:val="04A0" w:firstRow="1" w:lastRow="0" w:firstColumn="1" w:lastColumn="0" w:noHBand="0" w:noVBand="1"/>
      </w:tblPr>
      <w:tblGrid>
        <w:gridCol w:w="1314"/>
        <w:gridCol w:w="814"/>
        <w:gridCol w:w="1106"/>
        <w:gridCol w:w="814"/>
        <w:gridCol w:w="1055"/>
      </w:tblGrid>
      <w:tr w:rsidR="00091987" w:rsidRPr="006F1ED5" w:rsidTr="00691C36">
        <w:trPr>
          <w:trHeight w:val="300"/>
          <w:jc w:val="center"/>
        </w:trPr>
        <w:tc>
          <w:tcPr>
            <w:tcW w:w="1314" w:type="dxa"/>
            <w:tcBorders>
              <w:top w:val="nil"/>
              <w:left w:val="nil"/>
              <w:bottom w:val="nil"/>
              <w:right w:val="nil"/>
            </w:tcBorders>
            <w:shd w:val="clear" w:color="000000" w:fill="D9D9D9"/>
            <w:noWrap/>
            <w:vAlign w:val="center"/>
            <w:hideMark/>
          </w:tcPr>
          <w:p w:rsidR="00091987" w:rsidRPr="006F1ED5" w:rsidRDefault="00091987" w:rsidP="00691C36">
            <w:pPr>
              <w:spacing w:after="0" w:line="240" w:lineRule="auto"/>
              <w:rPr>
                <w:rFonts w:ascii="Calibri" w:eastAsia="Times New Roman" w:hAnsi="Calibri" w:cs="Times New Roman"/>
                <w:bCs/>
                <w:color w:val="000000"/>
              </w:rPr>
            </w:pPr>
            <w:r w:rsidRPr="006F1ED5">
              <w:rPr>
                <w:rFonts w:ascii="Calibri" w:eastAsia="Times New Roman" w:hAnsi="Calibri" w:cs="Times New Roman"/>
                <w:bCs/>
                <w:color w:val="000000"/>
              </w:rPr>
              <w:t>Selection Groups</w:t>
            </w:r>
          </w:p>
        </w:tc>
        <w:tc>
          <w:tcPr>
            <w:tcW w:w="1920" w:type="dxa"/>
            <w:gridSpan w:val="2"/>
            <w:tcBorders>
              <w:top w:val="nil"/>
              <w:left w:val="nil"/>
              <w:bottom w:val="nil"/>
              <w:right w:val="nil"/>
            </w:tcBorders>
            <w:shd w:val="clear" w:color="000000" w:fill="D9D9D9"/>
            <w:noWrap/>
            <w:vAlign w:val="center"/>
            <w:hideMark/>
          </w:tcPr>
          <w:p w:rsidR="00091987" w:rsidRPr="006F1ED5" w:rsidRDefault="00091987" w:rsidP="00691C36">
            <w:pPr>
              <w:spacing w:after="0" w:line="240" w:lineRule="auto"/>
              <w:rPr>
                <w:rFonts w:ascii="Calibri" w:eastAsia="Times New Roman" w:hAnsi="Calibri" w:cs="Times New Roman"/>
                <w:bCs/>
                <w:color w:val="000000"/>
              </w:rPr>
            </w:pPr>
            <w:proofErr w:type="spellStart"/>
            <w:r w:rsidRPr="006F1ED5">
              <w:rPr>
                <w:rFonts w:ascii="Calibri" w:eastAsia="Times New Roman" w:hAnsi="Calibri" w:cs="Times New Roman"/>
                <w:bCs/>
                <w:color w:val="000000"/>
              </w:rPr>
              <w:t>Learnline</w:t>
            </w:r>
            <w:proofErr w:type="spellEnd"/>
            <w:r w:rsidRPr="006F1ED5">
              <w:rPr>
                <w:rFonts w:ascii="Calibri" w:eastAsia="Times New Roman" w:hAnsi="Calibri" w:cs="Times New Roman"/>
                <w:bCs/>
                <w:color w:val="000000"/>
              </w:rPr>
              <w:t xml:space="preserve"> Activity</w:t>
            </w:r>
          </w:p>
        </w:tc>
        <w:tc>
          <w:tcPr>
            <w:tcW w:w="1869" w:type="dxa"/>
            <w:gridSpan w:val="2"/>
            <w:tcBorders>
              <w:top w:val="nil"/>
              <w:left w:val="nil"/>
              <w:bottom w:val="nil"/>
              <w:right w:val="nil"/>
            </w:tcBorders>
            <w:shd w:val="clear" w:color="000000" w:fill="D9D9D9"/>
            <w:noWrap/>
            <w:vAlign w:val="center"/>
            <w:hideMark/>
          </w:tcPr>
          <w:p w:rsidR="00091987" w:rsidRPr="006F1ED5" w:rsidRDefault="00091987" w:rsidP="00691C36">
            <w:pPr>
              <w:spacing w:after="0" w:line="240" w:lineRule="auto"/>
              <w:rPr>
                <w:rFonts w:ascii="Calibri" w:eastAsia="Times New Roman" w:hAnsi="Calibri" w:cs="Times New Roman"/>
                <w:bCs/>
                <w:color w:val="000000"/>
              </w:rPr>
            </w:pPr>
            <w:r w:rsidRPr="006F1ED5">
              <w:rPr>
                <w:rFonts w:ascii="Calibri" w:eastAsia="Times New Roman" w:hAnsi="Calibri" w:cs="Times New Roman"/>
                <w:bCs/>
                <w:color w:val="000000"/>
              </w:rPr>
              <w:t>Collaborate Participation</w:t>
            </w:r>
          </w:p>
        </w:tc>
      </w:tr>
      <w:tr w:rsidR="00091987" w:rsidRPr="006F1ED5" w:rsidTr="00691C36">
        <w:trPr>
          <w:trHeight w:val="300"/>
          <w:jc w:val="center"/>
        </w:trPr>
        <w:tc>
          <w:tcPr>
            <w:tcW w:w="1314" w:type="dxa"/>
            <w:tcBorders>
              <w:top w:val="nil"/>
              <w:left w:val="nil"/>
              <w:bottom w:val="nil"/>
              <w:right w:val="nil"/>
            </w:tcBorders>
            <w:shd w:val="clear" w:color="auto" w:fill="auto"/>
            <w:noWrap/>
            <w:vAlign w:val="bottom"/>
            <w:hideMark/>
          </w:tcPr>
          <w:p w:rsidR="00091987" w:rsidRPr="006F1ED5" w:rsidRDefault="00091987" w:rsidP="00691C36">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center"/>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Freq.</w:t>
            </w:r>
          </w:p>
        </w:tc>
        <w:tc>
          <w:tcPr>
            <w:tcW w:w="1106" w:type="dxa"/>
            <w:tcBorders>
              <w:top w:val="nil"/>
              <w:left w:val="nil"/>
              <w:bottom w:val="nil"/>
              <w:right w:val="nil"/>
            </w:tcBorders>
            <w:shd w:val="clear" w:color="auto" w:fill="auto"/>
            <w:noWrap/>
            <w:vAlign w:val="center"/>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Percent</w:t>
            </w:r>
          </w:p>
        </w:tc>
        <w:tc>
          <w:tcPr>
            <w:tcW w:w="814" w:type="dxa"/>
            <w:tcBorders>
              <w:top w:val="nil"/>
              <w:left w:val="nil"/>
              <w:bottom w:val="nil"/>
              <w:right w:val="nil"/>
            </w:tcBorders>
            <w:shd w:val="clear" w:color="auto" w:fill="auto"/>
            <w:noWrap/>
            <w:vAlign w:val="center"/>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Freq.</w:t>
            </w:r>
          </w:p>
        </w:tc>
        <w:tc>
          <w:tcPr>
            <w:tcW w:w="1055" w:type="dxa"/>
            <w:tcBorders>
              <w:top w:val="nil"/>
              <w:left w:val="nil"/>
              <w:bottom w:val="nil"/>
              <w:right w:val="nil"/>
            </w:tcBorders>
            <w:shd w:val="clear" w:color="auto" w:fill="auto"/>
            <w:noWrap/>
            <w:vAlign w:val="center"/>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Percent</w:t>
            </w:r>
          </w:p>
        </w:tc>
      </w:tr>
      <w:tr w:rsidR="00091987" w:rsidRPr="006F1ED5" w:rsidTr="00691C36">
        <w:trPr>
          <w:trHeight w:val="300"/>
          <w:jc w:val="center"/>
        </w:trPr>
        <w:tc>
          <w:tcPr>
            <w:tcW w:w="1314" w:type="dxa"/>
            <w:tcBorders>
              <w:top w:val="nil"/>
              <w:left w:val="nil"/>
              <w:bottom w:val="nil"/>
              <w:right w:val="nil"/>
            </w:tcBorders>
            <w:shd w:val="clear" w:color="000000" w:fill="D9D9D9"/>
            <w:noWrap/>
            <w:vAlign w:val="center"/>
            <w:hideMark/>
          </w:tcPr>
          <w:p w:rsidR="00091987" w:rsidRPr="006F1ED5" w:rsidRDefault="00091987" w:rsidP="00691C36">
            <w:pPr>
              <w:spacing w:after="0" w:line="240" w:lineRule="auto"/>
              <w:rPr>
                <w:rFonts w:ascii="Calibri" w:eastAsia="Times New Roman" w:hAnsi="Calibri" w:cs="Times New Roman"/>
                <w:color w:val="000000"/>
              </w:rPr>
            </w:pPr>
            <w:r w:rsidRPr="006F1ED5">
              <w:rPr>
                <w:rFonts w:ascii="Calibri" w:eastAsia="Times New Roman" w:hAnsi="Calibri" w:cs="Times New Roman"/>
                <w:color w:val="000000"/>
              </w:rPr>
              <w:t>"Untreated"</w:t>
            </w:r>
          </w:p>
        </w:tc>
        <w:tc>
          <w:tcPr>
            <w:tcW w:w="814" w:type="dxa"/>
            <w:tcBorders>
              <w:top w:val="nil"/>
              <w:left w:val="nil"/>
              <w:bottom w:val="nil"/>
              <w:right w:val="nil"/>
            </w:tcBorders>
            <w:shd w:val="clear" w:color="000000" w:fill="D9D9D9"/>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3,018</w:t>
            </w:r>
          </w:p>
        </w:tc>
        <w:tc>
          <w:tcPr>
            <w:tcW w:w="1106" w:type="dxa"/>
            <w:tcBorders>
              <w:top w:val="nil"/>
              <w:left w:val="nil"/>
              <w:bottom w:val="nil"/>
              <w:right w:val="nil"/>
            </w:tcBorders>
            <w:shd w:val="clear" w:color="000000" w:fill="D9D9D9"/>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33.48</w:t>
            </w:r>
          </w:p>
        </w:tc>
        <w:tc>
          <w:tcPr>
            <w:tcW w:w="814" w:type="dxa"/>
            <w:tcBorders>
              <w:top w:val="nil"/>
              <w:left w:val="nil"/>
              <w:bottom w:val="nil"/>
              <w:right w:val="nil"/>
            </w:tcBorders>
            <w:shd w:val="clear" w:color="auto" w:fill="auto"/>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1,075</w:t>
            </w:r>
          </w:p>
        </w:tc>
        <w:tc>
          <w:tcPr>
            <w:tcW w:w="1055" w:type="dxa"/>
            <w:tcBorders>
              <w:top w:val="nil"/>
              <w:left w:val="nil"/>
              <w:bottom w:val="nil"/>
              <w:right w:val="nil"/>
            </w:tcBorders>
            <w:shd w:val="clear" w:color="auto" w:fill="auto"/>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27.53</w:t>
            </w:r>
          </w:p>
        </w:tc>
      </w:tr>
      <w:tr w:rsidR="00091987" w:rsidRPr="006F1ED5" w:rsidTr="00691C36">
        <w:trPr>
          <w:trHeight w:val="300"/>
          <w:jc w:val="center"/>
        </w:trPr>
        <w:tc>
          <w:tcPr>
            <w:tcW w:w="1314" w:type="dxa"/>
            <w:tcBorders>
              <w:top w:val="nil"/>
              <w:left w:val="nil"/>
              <w:bottom w:val="nil"/>
              <w:right w:val="nil"/>
            </w:tcBorders>
            <w:shd w:val="clear" w:color="auto" w:fill="auto"/>
            <w:noWrap/>
            <w:vAlign w:val="center"/>
            <w:hideMark/>
          </w:tcPr>
          <w:p w:rsidR="00091987" w:rsidRPr="006F1ED5" w:rsidRDefault="00091987" w:rsidP="00691C36">
            <w:pPr>
              <w:spacing w:after="0" w:line="240" w:lineRule="auto"/>
              <w:rPr>
                <w:rFonts w:ascii="Calibri" w:eastAsia="Times New Roman" w:hAnsi="Calibri" w:cs="Times New Roman"/>
                <w:color w:val="000000"/>
              </w:rPr>
            </w:pPr>
            <w:r w:rsidRPr="006F1ED5">
              <w:rPr>
                <w:rFonts w:ascii="Calibri" w:eastAsia="Times New Roman" w:hAnsi="Calibri" w:cs="Times New Roman"/>
                <w:color w:val="000000"/>
              </w:rPr>
              <w:t xml:space="preserve">"Treated" </w:t>
            </w:r>
          </w:p>
        </w:tc>
        <w:tc>
          <w:tcPr>
            <w:tcW w:w="814" w:type="dxa"/>
            <w:tcBorders>
              <w:top w:val="nil"/>
              <w:left w:val="nil"/>
              <w:bottom w:val="nil"/>
              <w:right w:val="nil"/>
            </w:tcBorders>
            <w:shd w:val="clear" w:color="auto" w:fill="auto"/>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5,997</w:t>
            </w:r>
          </w:p>
        </w:tc>
        <w:tc>
          <w:tcPr>
            <w:tcW w:w="1106" w:type="dxa"/>
            <w:tcBorders>
              <w:top w:val="nil"/>
              <w:left w:val="nil"/>
              <w:bottom w:val="nil"/>
              <w:right w:val="nil"/>
            </w:tcBorders>
            <w:shd w:val="clear" w:color="auto" w:fill="auto"/>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66.52</w:t>
            </w:r>
          </w:p>
        </w:tc>
        <w:tc>
          <w:tcPr>
            <w:tcW w:w="814" w:type="dxa"/>
            <w:tcBorders>
              <w:top w:val="nil"/>
              <w:left w:val="nil"/>
              <w:bottom w:val="nil"/>
              <w:right w:val="nil"/>
            </w:tcBorders>
            <w:shd w:val="clear" w:color="auto" w:fill="auto"/>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2,830</w:t>
            </w:r>
          </w:p>
        </w:tc>
        <w:tc>
          <w:tcPr>
            <w:tcW w:w="1055" w:type="dxa"/>
            <w:tcBorders>
              <w:top w:val="nil"/>
              <w:left w:val="nil"/>
              <w:bottom w:val="nil"/>
              <w:right w:val="nil"/>
            </w:tcBorders>
            <w:shd w:val="clear" w:color="auto" w:fill="auto"/>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72.47</w:t>
            </w:r>
          </w:p>
        </w:tc>
      </w:tr>
      <w:tr w:rsidR="00091987" w:rsidRPr="006F1ED5" w:rsidTr="00691C36">
        <w:trPr>
          <w:trHeight w:val="315"/>
          <w:jc w:val="center"/>
        </w:trPr>
        <w:tc>
          <w:tcPr>
            <w:tcW w:w="1314" w:type="dxa"/>
            <w:tcBorders>
              <w:top w:val="nil"/>
              <w:left w:val="nil"/>
              <w:bottom w:val="single" w:sz="8" w:space="0" w:color="000000"/>
              <w:right w:val="nil"/>
            </w:tcBorders>
            <w:shd w:val="clear" w:color="000000" w:fill="D9D9D9"/>
            <w:noWrap/>
            <w:vAlign w:val="center"/>
            <w:hideMark/>
          </w:tcPr>
          <w:p w:rsidR="00091987" w:rsidRPr="006F1ED5" w:rsidRDefault="00091987" w:rsidP="00691C36">
            <w:pPr>
              <w:spacing w:after="0" w:line="240" w:lineRule="auto"/>
              <w:rPr>
                <w:rFonts w:ascii="Calibri" w:eastAsia="Times New Roman" w:hAnsi="Calibri" w:cs="Times New Roman"/>
                <w:color w:val="000000"/>
              </w:rPr>
            </w:pPr>
            <w:r w:rsidRPr="006F1ED5">
              <w:rPr>
                <w:rFonts w:ascii="Calibri" w:eastAsia="Times New Roman" w:hAnsi="Calibri" w:cs="Times New Roman"/>
                <w:color w:val="000000"/>
              </w:rPr>
              <w:t>Total</w:t>
            </w:r>
          </w:p>
        </w:tc>
        <w:tc>
          <w:tcPr>
            <w:tcW w:w="814" w:type="dxa"/>
            <w:tcBorders>
              <w:top w:val="nil"/>
              <w:left w:val="nil"/>
              <w:bottom w:val="single" w:sz="8" w:space="0" w:color="000000"/>
              <w:right w:val="nil"/>
            </w:tcBorders>
            <w:shd w:val="clear" w:color="000000" w:fill="D9D9D9"/>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9,015</w:t>
            </w:r>
          </w:p>
        </w:tc>
        <w:tc>
          <w:tcPr>
            <w:tcW w:w="1106" w:type="dxa"/>
            <w:tcBorders>
              <w:top w:val="nil"/>
              <w:left w:val="nil"/>
              <w:bottom w:val="single" w:sz="8" w:space="0" w:color="000000"/>
              <w:right w:val="nil"/>
            </w:tcBorders>
            <w:shd w:val="clear" w:color="000000" w:fill="D9D9D9"/>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100</w:t>
            </w:r>
          </w:p>
        </w:tc>
        <w:tc>
          <w:tcPr>
            <w:tcW w:w="814" w:type="dxa"/>
            <w:tcBorders>
              <w:top w:val="nil"/>
              <w:left w:val="nil"/>
              <w:bottom w:val="single" w:sz="8" w:space="0" w:color="000000"/>
              <w:right w:val="nil"/>
            </w:tcBorders>
            <w:shd w:val="clear" w:color="000000" w:fill="D9D9D9"/>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3,905</w:t>
            </w:r>
          </w:p>
        </w:tc>
        <w:tc>
          <w:tcPr>
            <w:tcW w:w="1055" w:type="dxa"/>
            <w:tcBorders>
              <w:top w:val="nil"/>
              <w:left w:val="nil"/>
              <w:bottom w:val="single" w:sz="8" w:space="0" w:color="000000"/>
              <w:right w:val="nil"/>
            </w:tcBorders>
            <w:shd w:val="clear" w:color="000000" w:fill="D9D9D9"/>
            <w:noWrap/>
            <w:hideMark/>
          </w:tcPr>
          <w:p w:rsidR="00091987" w:rsidRPr="006F1ED5" w:rsidRDefault="00091987" w:rsidP="00691C36">
            <w:pPr>
              <w:spacing w:after="0" w:line="240" w:lineRule="auto"/>
              <w:jc w:val="center"/>
              <w:rPr>
                <w:rFonts w:ascii="Calibri" w:eastAsia="Times New Roman" w:hAnsi="Calibri" w:cs="Times New Roman"/>
                <w:color w:val="000000"/>
              </w:rPr>
            </w:pPr>
            <w:r w:rsidRPr="006F1ED5">
              <w:rPr>
                <w:rFonts w:ascii="Calibri" w:eastAsia="Times New Roman" w:hAnsi="Calibri" w:cs="Times New Roman"/>
                <w:color w:val="000000"/>
              </w:rPr>
              <w:t>100</w:t>
            </w:r>
          </w:p>
        </w:tc>
      </w:tr>
    </w:tbl>
    <w:p w:rsidR="00091987" w:rsidRPr="006F1ED5" w:rsidRDefault="00091987" w:rsidP="00091987"/>
    <w:p w:rsidR="00091987" w:rsidRPr="001D0965" w:rsidRDefault="00091987" w:rsidP="00091987">
      <w:pPr>
        <w:rPr>
          <w:noProof/>
        </w:rPr>
      </w:pPr>
      <w:r w:rsidRPr="001D0965">
        <w:rPr>
          <w:noProof/>
        </w:rPr>
        <w:t>An endogenous treatment model (</w:t>
      </w:r>
      <w:r w:rsidRPr="001D0965">
        <w:rPr>
          <w:i/>
          <w:noProof/>
        </w:rPr>
        <w:t xml:space="preserve">etregress </w:t>
      </w:r>
      <w:r w:rsidRPr="001D0965">
        <w:rPr>
          <w:noProof/>
        </w:rPr>
        <w:t>command in Stata 14)</w:t>
      </w:r>
      <w:r>
        <w:rPr>
          <w:noProof/>
        </w:rPr>
        <w:t xml:space="preserve"> </w:t>
      </w:r>
      <w:r w:rsidRPr="001D0965">
        <w:rPr>
          <w:noProof/>
        </w:rPr>
        <w:t>was employed to estimate the average gain or difference between the potential mean grade awarded</w:t>
      </w:r>
      <w:r>
        <w:rPr>
          <w:noProof/>
        </w:rPr>
        <w:t xml:space="preserve"> </w:t>
      </w:r>
      <w:r w:rsidRPr="001D0965">
        <w:rPr>
          <w:noProof/>
        </w:rPr>
        <w:t>of the “treated” and the “untreated’ “ groups for both Learnline and Collaborate samples</w:t>
      </w:r>
      <w:r>
        <w:rPr>
          <w:rStyle w:val="FootnoteReference"/>
          <w:noProof/>
        </w:rPr>
        <w:footnoteReference w:id="3"/>
      </w:r>
      <w:r>
        <w:rPr>
          <w:noProof/>
        </w:rPr>
        <w:t xml:space="preserve"> </w:t>
      </w:r>
      <w:r w:rsidRPr="001D0965">
        <w:rPr>
          <w:noProof/>
        </w:rPr>
        <w:t>controlling for the range of pedatogic and individual student background variables and allowing for</w:t>
      </w:r>
      <w:r>
        <w:rPr>
          <w:noProof/>
        </w:rPr>
        <w:t xml:space="preserve"> </w:t>
      </w:r>
      <w:r w:rsidRPr="001D0965">
        <w:rPr>
          <w:noProof/>
        </w:rPr>
        <w:t>interactions</w:t>
      </w:r>
      <w:r>
        <w:rPr>
          <w:noProof/>
        </w:rPr>
        <w:t xml:space="preserve"> </w:t>
      </w:r>
      <w:r w:rsidRPr="001D0965">
        <w:rPr>
          <w:noProof/>
        </w:rPr>
        <w:t xml:space="preserve">between treatment condition and each of the four pedagogic contexts. </w:t>
      </w:r>
    </w:p>
    <w:p w:rsidR="00091987" w:rsidRDefault="00091987" w:rsidP="00091987">
      <w:pPr>
        <w:rPr>
          <w:noProof/>
        </w:rPr>
      </w:pPr>
      <w:r w:rsidRPr="001D0965">
        <w:rPr>
          <w:noProof/>
        </w:rPr>
        <w:t>These results (Tables A.6and A.7</w:t>
      </w:r>
      <w:r>
        <w:rPr>
          <w:noProof/>
        </w:rPr>
        <w:t xml:space="preserve"> </w:t>
      </w:r>
      <w:r w:rsidRPr="001D0965">
        <w:rPr>
          <w:noProof/>
        </w:rPr>
        <w:t>of the Technical</w:t>
      </w:r>
      <w:r>
        <w:rPr>
          <w:noProof/>
        </w:rPr>
        <w:t xml:space="preserve"> </w:t>
      </w:r>
      <w:r w:rsidRPr="001D0965">
        <w:rPr>
          <w:noProof/>
        </w:rPr>
        <w:t>Appendix) showed a vary good fit</w:t>
      </w:r>
      <w:r>
        <w:rPr>
          <w:noProof/>
        </w:rPr>
        <w:t xml:space="preserve"> </w:t>
      </w:r>
      <w:r w:rsidRPr="001D0965">
        <w:rPr>
          <w:noProof/>
        </w:rPr>
        <w:t>(p&lt;.0001 in both cases), of the treatment effect model for the online binary treatment variable</w:t>
      </w:r>
      <w:r>
        <w:rPr>
          <w:noProof/>
        </w:rPr>
        <w:t xml:space="preserve"> </w:t>
      </w:r>
      <w:r w:rsidRPr="001D0965">
        <w:rPr>
          <w:noProof/>
        </w:rPr>
        <w:t>with high negative values of “rho1” for the treatment</w:t>
      </w:r>
      <w:r>
        <w:rPr>
          <w:noProof/>
        </w:rPr>
        <w:t xml:space="preserve"> </w:t>
      </w:r>
      <w:r w:rsidRPr="001D0965">
        <w:rPr>
          <w:noProof/>
        </w:rPr>
        <w:t>groups both samples</w:t>
      </w:r>
      <w:r>
        <w:rPr>
          <w:noProof/>
        </w:rPr>
        <w:t xml:space="preserve"> </w:t>
      </w:r>
      <w:r w:rsidRPr="001D0965">
        <w:rPr>
          <w:noProof/>
        </w:rPr>
        <w:t>Learnline= -0.62’</w:t>
      </w:r>
      <w:r>
        <w:rPr>
          <w:rStyle w:val="FootnoteReference"/>
          <w:noProof/>
        </w:rPr>
        <w:footnoteReference w:id="4"/>
      </w:r>
      <w:r>
        <w:rPr>
          <w:noProof/>
        </w:rPr>
        <w:t xml:space="preserve"> </w:t>
      </w:r>
      <w:r w:rsidRPr="001D0965">
        <w:rPr>
          <w:noProof/>
        </w:rPr>
        <w:t>; Collaborate = -.0.71).</w:t>
      </w:r>
      <w:r>
        <w:rPr>
          <w:noProof/>
        </w:rPr>
        <w:t xml:space="preserve"> </w:t>
      </w:r>
      <w:r w:rsidRPr="001D0965">
        <w:rPr>
          <w:noProof/>
        </w:rPr>
        <w:t>Error bars representing the means and confidence intervals (95%)</w:t>
      </w:r>
      <w:r>
        <w:rPr>
          <w:noProof/>
        </w:rPr>
        <w:t xml:space="preserve"> </w:t>
      </w:r>
      <w:r w:rsidRPr="001D0965">
        <w:rPr>
          <w:noProof/>
        </w:rPr>
        <w:t>the Average Treatment Effect (the</w:t>
      </w:r>
      <w:r>
        <w:rPr>
          <w:noProof/>
        </w:rPr>
        <w:t xml:space="preserve"> </w:t>
      </w:r>
      <w:r w:rsidRPr="001D0965">
        <w:rPr>
          <w:noProof/>
        </w:rPr>
        <w:t>difference between the two marginal potential means</w:t>
      </w:r>
      <w:r>
        <w:rPr>
          <w:noProof/>
        </w:rPr>
        <w:t xml:space="preserve"> </w:t>
      </w:r>
      <w:r w:rsidRPr="001D0965">
        <w:rPr>
          <w:noProof/>
        </w:rPr>
        <w:t>for</w:t>
      </w:r>
      <w:r>
        <w:rPr>
          <w:noProof/>
        </w:rPr>
        <w:t xml:space="preserve"> </w:t>
      </w:r>
      <w:r w:rsidRPr="001D0965">
        <w:rPr>
          <w:noProof/>
        </w:rPr>
        <w:t>of online Activity/Participation) were</w:t>
      </w:r>
      <w:r>
        <w:rPr>
          <w:noProof/>
        </w:rPr>
        <w:t xml:space="preserve"> </w:t>
      </w:r>
      <w:r w:rsidRPr="001D0965">
        <w:rPr>
          <w:noProof/>
        </w:rPr>
        <w:t>derived from these results</w:t>
      </w:r>
      <w:r>
        <w:rPr>
          <w:noProof/>
        </w:rPr>
        <w:t xml:space="preserve"> </w:t>
      </w:r>
      <w:r w:rsidRPr="001D0965">
        <w:rPr>
          <w:noProof/>
        </w:rPr>
        <w:t>and are displayed below</w:t>
      </w:r>
      <w:r>
        <w:rPr>
          <w:noProof/>
        </w:rPr>
        <w:t xml:space="preserve"> </w:t>
      </w:r>
      <w:r w:rsidRPr="001D0965">
        <w:rPr>
          <w:noProof/>
        </w:rPr>
        <w:t>(Fig. 4).</w:t>
      </w:r>
    </w:p>
    <w:p w:rsidR="00644917" w:rsidRDefault="00644917">
      <w:pPr>
        <w:rPr>
          <w:b/>
        </w:rPr>
      </w:pPr>
      <w:r>
        <w:rPr>
          <w:b/>
        </w:rPr>
        <w:br w:type="page"/>
      </w:r>
    </w:p>
    <w:p w:rsidR="00091987" w:rsidRPr="001D0965" w:rsidRDefault="00091987" w:rsidP="00644917">
      <w:pPr>
        <w:pStyle w:val="Figure"/>
      </w:pPr>
      <w:bookmarkStart w:id="21" w:name="_Toc517439496"/>
      <w:r w:rsidRPr="001D0965">
        <w:lastRenderedPageBreak/>
        <w:t>Fig. 4 Potential Average Numeric Grade Gains by Online Activity and Pedagogic Context</w:t>
      </w:r>
      <w:r>
        <w:br/>
      </w:r>
      <w:r w:rsidRPr="001D0965">
        <w:t>Error Bars (95% C.I.) based on Appendix Tables A.6 &amp; A.7)</w:t>
      </w:r>
      <w:bookmarkEnd w:id="21"/>
      <w:r w:rsidRPr="001D0965">
        <w:t xml:space="preserve">  </w:t>
      </w:r>
    </w:p>
    <w:p w:rsidR="00091987" w:rsidRDefault="00091987" w:rsidP="00091987">
      <w:pPr>
        <w:spacing w:before="240"/>
        <w:jc w:val="center"/>
        <w:rPr>
          <w:b/>
        </w:rPr>
      </w:pPr>
      <w:r>
        <w:rPr>
          <w:noProof/>
          <w:lang w:eastAsia="en-AU"/>
        </w:rPr>
        <w:drawing>
          <wp:inline distT="0" distB="0" distL="0" distR="0" wp14:anchorId="19D55169" wp14:editId="27A0E6BD">
            <wp:extent cx="4607626" cy="39814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3845" cy="3986824"/>
                    </a:xfrm>
                    <a:prstGeom prst="rect">
                      <a:avLst/>
                    </a:prstGeom>
                  </pic:spPr>
                </pic:pic>
              </a:graphicData>
            </a:graphic>
          </wp:inline>
        </w:drawing>
      </w:r>
    </w:p>
    <w:p w:rsidR="00091987" w:rsidRPr="00FD5938" w:rsidRDefault="00091987" w:rsidP="00091987">
      <w:r w:rsidRPr="00FD5938">
        <w:t>The error bars of Figure 4</w:t>
      </w:r>
      <w:r>
        <w:t xml:space="preserve"> </w:t>
      </w:r>
      <w:r w:rsidRPr="00FD5938">
        <w:t>indicate</w:t>
      </w:r>
      <w:r>
        <w:t xml:space="preserve"> </w:t>
      </w:r>
      <w:r w:rsidRPr="00FD5938">
        <w:t>that the estimated average gains in potential means for higher Activity groups are</w:t>
      </w:r>
      <w:r>
        <w:t xml:space="preserve"> </w:t>
      </w:r>
      <w:r w:rsidRPr="00FD5938">
        <w:t>all</w:t>
      </w:r>
      <w:r>
        <w:t xml:space="preserve"> </w:t>
      </w:r>
      <w:r w:rsidRPr="00FD5938">
        <w:t>highly statistically significant for all contexts, with</w:t>
      </w:r>
      <w:r>
        <w:t xml:space="preserve"> </w:t>
      </w:r>
      <w:r w:rsidRPr="00FD5938">
        <w:t>average improvement of</w:t>
      </w:r>
      <w:r>
        <w:t xml:space="preserve"> </w:t>
      </w:r>
      <w:r w:rsidRPr="00FD5938">
        <w:t>about one and a half full grades across the four contexts of delivery. Although the error bar estimates tend to overlap statistically,</w:t>
      </w:r>
      <w:r>
        <w:t xml:space="preserve"> </w:t>
      </w:r>
      <w:r w:rsidRPr="00FD5938">
        <w:t xml:space="preserve">the highest standout gains are for external enrolment observations, with the Internal and Core showing the lowest. </w:t>
      </w:r>
    </w:p>
    <w:p w:rsidR="00091987" w:rsidRPr="00FD5938" w:rsidRDefault="00091987" w:rsidP="00091987">
      <w:r w:rsidRPr="00FD5938">
        <w:t>The improvement in gains for online Activity/Participation yielded by the counterfactual model over that recorded the OLS multiple</w:t>
      </w:r>
      <w:r>
        <w:t xml:space="preserve"> </w:t>
      </w:r>
      <w:r w:rsidRPr="00FD5938">
        <w:t xml:space="preserve">(about one full awarded grade) is matched by a loss of predictive power of the full regression model for grade scores reported in Table 2. For </w:t>
      </w:r>
      <w:proofErr w:type="spellStart"/>
      <w:r w:rsidRPr="00FD5938">
        <w:t>Learnline</w:t>
      </w:r>
      <w:proofErr w:type="spellEnd"/>
      <w:r w:rsidRPr="00FD5938">
        <w:t xml:space="preserve"> sample, this rep</w:t>
      </w:r>
      <w:r>
        <w:t>r</w:t>
      </w:r>
      <w:r w:rsidRPr="00FD5938">
        <w:t>esents a drop from</w:t>
      </w:r>
      <w:r>
        <w:t xml:space="preserve"> </w:t>
      </w:r>
      <w:r w:rsidRPr="00FD5938">
        <w:t>20.7% of variance explained for the OLS method to 15.4% for</w:t>
      </w:r>
      <w:r>
        <w:t xml:space="preserve"> </w:t>
      </w:r>
      <w:r w:rsidRPr="00FD5938">
        <w:t>the counterfactual model, and from 15.25% to 6.8% for the Collaborate sample.</w:t>
      </w:r>
      <w:r>
        <w:t xml:space="preserve"> </w:t>
      </w:r>
      <w:r w:rsidRPr="00FD5938">
        <w:t>This drop is explainable as the hidden endogenous bias that distorts the potential effect of the treatment are corrected and accompan</w:t>
      </w:r>
      <w:r>
        <w:t>i</w:t>
      </w:r>
      <w:r w:rsidRPr="00FD5938">
        <w:t>ed by gain in causal terms by the very large increases in the potential outcomes</w:t>
      </w:r>
      <w:r>
        <w:t xml:space="preserve"> </w:t>
      </w:r>
      <w:r w:rsidRPr="00FD5938">
        <w:t>of about a whole numerical grade</w:t>
      </w:r>
      <w:r>
        <w:t xml:space="preserve"> </w:t>
      </w:r>
      <w:r w:rsidRPr="00FD5938">
        <w:t xml:space="preserve">(see Fig. 5 below). </w:t>
      </w:r>
    </w:p>
    <w:p w:rsidR="00091987" w:rsidRPr="00FD5938" w:rsidRDefault="00091987" w:rsidP="00091987">
      <w:r w:rsidRPr="00FD5938">
        <w:t>Except at the extremes of online Activity, these gains are much higher, by</w:t>
      </w:r>
      <w:r>
        <w:t xml:space="preserve"> </w:t>
      </w:r>
      <w:r w:rsidRPr="00FD5938">
        <w:t>factor of three,</w:t>
      </w:r>
      <w:r>
        <w:t xml:space="preserve"> </w:t>
      </w:r>
      <w:r w:rsidRPr="00FD5938">
        <w:t>than average estimated by the two ordinary regression models in section 1, whether bivariate and multivariate. The gains</w:t>
      </w:r>
      <w:r>
        <w:t xml:space="preserve"> </w:t>
      </w:r>
      <w:r w:rsidRPr="00FD5938">
        <w:t>are also relatively evenly distributed across the four pedagogic contexts, though with consistently higher gains for External Mode and Collaborate Participation samples over</w:t>
      </w:r>
      <w:r>
        <w:t xml:space="preserve"> </w:t>
      </w:r>
      <w:r w:rsidRPr="00FD5938">
        <w:t>those</w:t>
      </w:r>
      <w:r>
        <w:t xml:space="preserve"> </w:t>
      </w:r>
      <w:r w:rsidRPr="00FD5938">
        <w:t>for Internal</w:t>
      </w:r>
      <w:r>
        <w:t xml:space="preserve"> </w:t>
      </w:r>
      <w:r w:rsidRPr="00FD5938">
        <w:t>Mode and</w:t>
      </w:r>
      <w:r>
        <w:t xml:space="preserve"> </w:t>
      </w:r>
      <w:proofErr w:type="spellStart"/>
      <w:r w:rsidRPr="00FD5938">
        <w:t>Learnline</w:t>
      </w:r>
      <w:proofErr w:type="spellEnd"/>
      <w:r>
        <w:t xml:space="preserve"> </w:t>
      </w:r>
      <w:r w:rsidRPr="00FD5938">
        <w:t xml:space="preserve">Activity - a not-unexpected result, given the restricted range of the self-selected (volunteered) Collaborate sample. </w:t>
      </w:r>
    </w:p>
    <w:p w:rsidR="00091987" w:rsidRPr="00FD5938" w:rsidRDefault="00644917" w:rsidP="00644917">
      <w:pPr>
        <w:pStyle w:val="Heading2"/>
      </w:pPr>
      <w:bookmarkStart w:id="22" w:name="_Toc517439488"/>
      <w:r>
        <w:lastRenderedPageBreak/>
        <w:t>3.</w:t>
      </w:r>
      <w:r w:rsidR="00091987">
        <w:t xml:space="preserve"> </w:t>
      </w:r>
      <w:r w:rsidR="00091987" w:rsidRPr="00FD5938">
        <w:t>Interpreting the Counterfactual Model: from Causal Inference to Educational</w:t>
      </w:r>
      <w:r w:rsidR="00091987">
        <w:t xml:space="preserve"> </w:t>
      </w:r>
      <w:r w:rsidR="00091987" w:rsidRPr="00FD5938">
        <w:t>Practice</w:t>
      </w:r>
      <w:bookmarkEnd w:id="22"/>
      <w:r w:rsidR="00091987" w:rsidRPr="00FD5938">
        <w:t xml:space="preserve"> </w:t>
      </w:r>
    </w:p>
    <w:p w:rsidR="00091987" w:rsidRPr="00FD5938" w:rsidRDefault="00091987" w:rsidP="00091987">
      <w:r w:rsidRPr="00FD5938">
        <w:t>Why are these potential gains in grade scores</w:t>
      </w:r>
      <w:r>
        <w:t xml:space="preserve"> </w:t>
      </w:r>
      <w:r w:rsidRPr="00FD5938">
        <w:t>across the</w:t>
      </w:r>
      <w:r>
        <w:t xml:space="preserve"> </w:t>
      </w:r>
      <w:r w:rsidRPr="00FD5938">
        <w:t>units so much higher (by about one numeric grade) than those predicted by standard regression modelling, even after adjustment has been made for contexts and student background (i</w:t>
      </w:r>
      <w:r>
        <w:t>.</w:t>
      </w:r>
      <w:r w:rsidRPr="00FD5938">
        <w:t>e</w:t>
      </w:r>
      <w:r>
        <w:t>.</w:t>
      </w:r>
      <w:r w:rsidRPr="00FD5938">
        <w:t xml:space="preserve"> in Tables 1 and 2)? </w:t>
      </w:r>
    </w:p>
    <w:p w:rsidR="00091987" w:rsidRPr="00FD5938" w:rsidRDefault="00091987" w:rsidP="00091987">
      <w:r w:rsidRPr="00FD5938">
        <w:t>The answer to this question will involve: (a) comparing</w:t>
      </w:r>
      <w:r>
        <w:t xml:space="preserve"> </w:t>
      </w:r>
      <w:r w:rsidRPr="00FD5938">
        <w:t>the size and incidence of</w:t>
      </w:r>
      <w:r>
        <w:t xml:space="preserve"> </w:t>
      </w:r>
      <w:r w:rsidRPr="00FD5938">
        <w:t>predicted</w:t>
      </w:r>
      <w:r>
        <w:t xml:space="preserve"> </w:t>
      </w:r>
      <w:r w:rsidRPr="00FD5938">
        <w:t>grades across the both samples and three regression models (bivariate, multivariate, counterfactual);</w:t>
      </w:r>
      <w:r>
        <w:t xml:space="preserve"> </w:t>
      </w:r>
      <w:r w:rsidRPr="00FD5938">
        <w:t>(b)</w:t>
      </w:r>
      <w:r>
        <w:t xml:space="preserve"> </w:t>
      </w:r>
      <w:r w:rsidRPr="00FD5938">
        <w:t>drawing any causal inferences that these descriptions may have</w:t>
      </w:r>
      <w:r>
        <w:t xml:space="preserve"> </w:t>
      </w:r>
      <w:r w:rsidRPr="00FD5938">
        <w:t xml:space="preserve">online Activity/Participation for program development and course delivery. </w:t>
      </w:r>
    </w:p>
    <w:p w:rsidR="00091987" w:rsidRPr="00FD5938" w:rsidRDefault="00091987" w:rsidP="008209C9">
      <w:pPr>
        <w:pStyle w:val="ListParagraph"/>
        <w:numPr>
          <w:ilvl w:val="0"/>
          <w:numId w:val="7"/>
        </w:numPr>
      </w:pPr>
      <w:r w:rsidRPr="00FD5938">
        <w:t>How do the patterns of</w:t>
      </w:r>
      <w:r>
        <w:t xml:space="preserve"> </w:t>
      </w:r>
      <w:r w:rsidRPr="00FD5938">
        <w:t>gain in numerical grades predicted for each treatment group differ across the three regression</w:t>
      </w:r>
      <w:r>
        <w:t xml:space="preserve"> </w:t>
      </w:r>
      <w:r w:rsidRPr="00FD5938">
        <w:t>approaches (bivariate, multivariate, counterfactual)?</w:t>
      </w:r>
    </w:p>
    <w:p w:rsidR="00091987" w:rsidRPr="00FD5938" w:rsidRDefault="00091987" w:rsidP="00091987">
      <w:r w:rsidRPr="00FD5938">
        <w:t>For descriptive purposes, this subsection compares the means and variances predicted by the</w:t>
      </w:r>
      <w:r>
        <w:t xml:space="preserve"> </w:t>
      </w:r>
      <w:r w:rsidRPr="00FD5938">
        <w:t>main estimation regimes. First,</w:t>
      </w:r>
      <w:r>
        <w:t xml:space="preserve"> </w:t>
      </w:r>
      <w:r w:rsidRPr="00FD5938">
        <w:t>comparison</w:t>
      </w:r>
      <w:r>
        <w:t xml:space="preserve"> </w:t>
      </w:r>
      <w:r w:rsidRPr="00FD5938">
        <w:t>of the three regression method shows both the size and the incidence of the online Activity/Participation “treatment” effect on the average or mean predicted grades for the respective first year units assessed (Fig. 5, based on Appendix Table A.8).</w:t>
      </w:r>
      <w:r>
        <w:t xml:space="preserve"> </w:t>
      </w:r>
    </w:p>
    <w:p w:rsidR="00091987" w:rsidRPr="00F21F16" w:rsidRDefault="00091987" w:rsidP="00644917">
      <w:pPr>
        <w:pStyle w:val="Figure"/>
        <w:ind w:left="0"/>
      </w:pPr>
      <w:bookmarkStart w:id="23" w:name="_Toc517439497"/>
      <w:r w:rsidRPr="00F21F16">
        <w:t>Fig. 5 Comparison of Predicted Numerical Gains in Grade Awarded</w:t>
      </w:r>
      <w:r>
        <w:rPr>
          <w:rStyle w:val="FootnoteReference"/>
        </w:rPr>
        <w:footnoteReference w:id="5"/>
      </w:r>
      <w:r w:rsidRPr="00F21F16">
        <w:t>: Three Regression Models</w:t>
      </w:r>
      <w:r>
        <w:br/>
      </w:r>
      <w:r w:rsidRPr="00F21F16">
        <w:t xml:space="preserve">“Untreated” (left-hand </w:t>
      </w:r>
      <w:proofErr w:type="spellStart"/>
      <w:r w:rsidRPr="00F21F16">
        <w:t>scoreline</w:t>
      </w:r>
      <w:proofErr w:type="spellEnd"/>
      <w:r w:rsidRPr="00F21F16">
        <w:t xml:space="preserve">) vs “Treated” (right-hand </w:t>
      </w:r>
      <w:proofErr w:type="spellStart"/>
      <w:r w:rsidRPr="00F21F16">
        <w:t>scoreline</w:t>
      </w:r>
      <w:proofErr w:type="spellEnd"/>
      <w:r w:rsidRPr="00F21F16">
        <w:t>)</w:t>
      </w:r>
      <w:bookmarkEnd w:id="23"/>
      <w:r w:rsidRPr="00F21F16">
        <w:t xml:space="preserve"> </w:t>
      </w:r>
    </w:p>
    <w:p w:rsidR="00091987" w:rsidRPr="00FD5938" w:rsidRDefault="00091987" w:rsidP="00644917">
      <w:pPr>
        <w:jc w:val="center"/>
      </w:pPr>
      <w:r>
        <w:rPr>
          <w:noProof/>
          <w:lang w:eastAsia="en-AU"/>
        </w:rPr>
        <w:drawing>
          <wp:inline distT="0" distB="0" distL="0" distR="0" wp14:anchorId="62C0B6FA" wp14:editId="16387841">
            <wp:extent cx="4933950" cy="2905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3950" cy="2905125"/>
                    </a:xfrm>
                    <a:prstGeom prst="rect">
                      <a:avLst/>
                    </a:prstGeom>
                  </pic:spPr>
                </pic:pic>
              </a:graphicData>
            </a:graphic>
          </wp:inline>
        </w:drawing>
      </w:r>
    </w:p>
    <w:p w:rsidR="00091987" w:rsidRPr="00042F78" w:rsidRDefault="00091987" w:rsidP="00091987">
      <w:r w:rsidRPr="00042F78">
        <w:t xml:space="preserve">The most salient feature of the </w:t>
      </w:r>
      <w:proofErr w:type="spellStart"/>
      <w:r w:rsidRPr="00042F78">
        <w:t>the</w:t>
      </w:r>
      <w:proofErr w:type="spellEnd"/>
      <w:r w:rsidRPr="00042F78">
        <w:t xml:space="preserve"> </w:t>
      </w:r>
      <w:proofErr w:type="spellStart"/>
      <w:r w:rsidRPr="00042F78">
        <w:t>scoreli</w:t>
      </w:r>
      <w:r>
        <w:t>nes</w:t>
      </w:r>
      <w:proofErr w:type="spellEnd"/>
      <w:r>
        <w:t xml:space="preserve"> of Fig. 5 is the far greater</w:t>
      </w:r>
      <w:r w:rsidRPr="00042F78">
        <w:t xml:space="preserve"> average gain in predicted grade scores (about one and a half grades)</w:t>
      </w:r>
      <w:r>
        <w:t xml:space="preserve"> </w:t>
      </w:r>
      <w:r w:rsidRPr="00042F78">
        <w:t>for the counterfactual method as against the two regression methods (between a third and a half a numerical grade) . In both samples, the increase for the “treated” (or higher Activity/Participation groups of about a quarter to a third of a grade improvement is overwhelmed by the deteriorating prospects of about one full grade for the “untreated” (or lower Activity/Participation).</w:t>
      </w:r>
      <w:r>
        <w:t xml:space="preserve"> </w:t>
      </w:r>
    </w:p>
    <w:p w:rsidR="00091987" w:rsidRPr="00042F78" w:rsidRDefault="00091987" w:rsidP="00091987">
      <w:r w:rsidRPr="00042F78">
        <w:t>The difference in predicted average or potential scores by multivariate regression and those by counterfactual model is</w:t>
      </w:r>
      <w:r>
        <w:t xml:space="preserve"> </w:t>
      </w:r>
      <w:r w:rsidRPr="00042F78">
        <w:t>illustrated in the histograms comparing their respective distributions. Fig. 6 displays</w:t>
      </w:r>
      <w:r>
        <w:t xml:space="preserve"> a</w:t>
      </w:r>
      <w:r w:rsidRPr="00042F78">
        <w:t xml:space="preserve"> comparison of the histograms of</w:t>
      </w:r>
      <w:r>
        <w:t xml:space="preserve"> </w:t>
      </w:r>
      <w:r w:rsidRPr="00042F78">
        <w:t>predicted</w:t>
      </w:r>
      <w:r>
        <w:t xml:space="preserve"> </w:t>
      </w:r>
      <w:r w:rsidRPr="00042F78">
        <w:t>grade scores by both predictive models (multiple regression vs counterfactual or endogenous treatment) demonstrates the radically different patterns of distribution between</w:t>
      </w:r>
      <w:r>
        <w:t xml:space="preserve"> </w:t>
      </w:r>
      <w:r w:rsidRPr="00042F78">
        <w:t xml:space="preserve">“untreated” and the “treated” groups. </w:t>
      </w:r>
    </w:p>
    <w:p w:rsidR="00091987" w:rsidRDefault="00091987" w:rsidP="00715E8E">
      <w:pPr>
        <w:pStyle w:val="Figure"/>
      </w:pPr>
      <w:bookmarkStart w:id="24" w:name="_Toc517439498"/>
      <w:r w:rsidRPr="00DF6277">
        <w:lastRenderedPageBreak/>
        <w:t xml:space="preserve">Fig. 6 Comparison of Distributions of Predicted Numerical Grade Scores*: </w:t>
      </w:r>
      <w:proofErr w:type="spellStart"/>
      <w:r w:rsidRPr="00DF6277">
        <w:t>Learnline</w:t>
      </w:r>
      <w:proofErr w:type="spellEnd"/>
      <w:r w:rsidRPr="00DF6277">
        <w:t xml:space="preserve"> and Collaborate</w:t>
      </w:r>
      <w:bookmarkEnd w:id="24"/>
      <w:r w:rsidRPr="00DF6277">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442"/>
        <w:gridCol w:w="4071"/>
      </w:tblGrid>
      <w:tr w:rsidR="00091987" w:rsidTr="00691C36">
        <w:trPr>
          <w:trHeight w:val="468"/>
          <w:jc w:val="center"/>
        </w:trPr>
        <w:tc>
          <w:tcPr>
            <w:tcW w:w="959" w:type="dxa"/>
          </w:tcPr>
          <w:p w:rsidR="00091987" w:rsidRPr="005D40A3" w:rsidRDefault="00091987" w:rsidP="00691C36">
            <w:pPr>
              <w:spacing w:before="240"/>
              <w:rPr>
                <w:b/>
                <w:i/>
              </w:rPr>
            </w:pPr>
          </w:p>
        </w:tc>
        <w:tc>
          <w:tcPr>
            <w:tcW w:w="3442" w:type="dxa"/>
          </w:tcPr>
          <w:p w:rsidR="00091987" w:rsidRDefault="00091987" w:rsidP="00691C36">
            <w:pPr>
              <w:spacing w:before="240"/>
              <w:jc w:val="center"/>
              <w:rPr>
                <w:b/>
              </w:rPr>
            </w:pPr>
            <w:r w:rsidRPr="005D40A3">
              <w:rPr>
                <w:b/>
                <w:i/>
              </w:rPr>
              <w:t>Multivariate Regression</w:t>
            </w:r>
          </w:p>
        </w:tc>
        <w:tc>
          <w:tcPr>
            <w:tcW w:w="4071" w:type="dxa"/>
          </w:tcPr>
          <w:p w:rsidR="00091987" w:rsidRDefault="00091987" w:rsidP="00691C36">
            <w:pPr>
              <w:spacing w:before="240"/>
              <w:rPr>
                <w:b/>
              </w:rPr>
            </w:pPr>
            <w:r w:rsidRPr="005D40A3">
              <w:rPr>
                <w:b/>
                <w:i/>
              </w:rPr>
              <w:t>Endogenous Treatment</w:t>
            </w:r>
            <w:r>
              <w:rPr>
                <w:b/>
                <w:i/>
              </w:rPr>
              <w:t>/ Counterfactual</w:t>
            </w:r>
          </w:p>
        </w:tc>
      </w:tr>
      <w:tr w:rsidR="00091987" w:rsidTr="00691C36">
        <w:trPr>
          <w:trHeight w:val="2511"/>
          <w:jc w:val="center"/>
        </w:trPr>
        <w:tc>
          <w:tcPr>
            <w:tcW w:w="959" w:type="dxa"/>
          </w:tcPr>
          <w:p w:rsidR="00091987" w:rsidRDefault="00091987" w:rsidP="00691C36">
            <w:pPr>
              <w:spacing w:before="240"/>
              <w:rPr>
                <w:b/>
              </w:rPr>
            </w:pPr>
            <w:r w:rsidRPr="00DF6277">
              <w:rPr>
                <w:b/>
                <w:noProof/>
                <w:lang w:eastAsia="en-AU"/>
              </w:rPr>
              <mc:AlternateContent>
                <mc:Choice Requires="wps">
                  <w:drawing>
                    <wp:anchor distT="0" distB="0" distL="114300" distR="114300" simplePos="0" relativeHeight="251663360" behindDoc="0" locked="0" layoutInCell="1" allowOverlap="1" wp14:anchorId="0F6A0A84" wp14:editId="72222691">
                      <wp:simplePos x="0" y="0"/>
                      <wp:positionH relativeFrom="column">
                        <wp:posOffset>208915</wp:posOffset>
                      </wp:positionH>
                      <wp:positionV relativeFrom="paragraph">
                        <wp:posOffset>172085</wp:posOffset>
                      </wp:positionV>
                      <wp:extent cx="2374265" cy="1181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100"/>
                              </a:xfrm>
                              <a:prstGeom prst="rect">
                                <a:avLst/>
                              </a:prstGeom>
                              <a:noFill/>
                              <a:ln w="9525">
                                <a:noFill/>
                                <a:miter lim="800000"/>
                                <a:headEnd/>
                                <a:tailEnd/>
                              </a:ln>
                            </wps:spPr>
                            <wps:txbx>
                              <w:txbxContent>
                                <w:p w:rsidR="00DB593B" w:rsidRPr="00DF6277" w:rsidRDefault="00DB593B" w:rsidP="00091987">
                                  <w:pPr>
                                    <w:spacing w:after="0" w:line="240" w:lineRule="auto"/>
                                    <w:jc w:val="center"/>
                                    <w:rPr>
                                      <w:i/>
                                    </w:rPr>
                                  </w:pPr>
                                  <w:proofErr w:type="spellStart"/>
                                  <w:r w:rsidRPr="00DF6277">
                                    <w:rPr>
                                      <w:i/>
                                    </w:rPr>
                                    <w:t>Learnline</w:t>
                                  </w:r>
                                  <w:proofErr w:type="spellEnd"/>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13.55pt;width:186.95pt;height:9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" filled="f" stroked="f">
                      <v:textbox style="layout-flow:vertical;mso-layout-flow-alt:bottom-to-top;mso-fit-shape-to-text:t">
                        <w:txbxContent>
                          <w:p w:rsidR="00DB593B" w:rsidRPr="00DF6277" w:rsidRDefault="00DB593B" w:rsidP="00091987">
                            <w:pPr>
                              <w:spacing w:after="0" w:line="240" w:lineRule="auto"/>
                              <w:jc w:val="center"/>
                              <w:rPr>
                                <w:i/>
                              </w:rPr>
                            </w:pPr>
                            <w:proofErr w:type="spellStart"/>
                            <w:r w:rsidRPr="00DF6277">
                              <w:rPr>
                                <w:i/>
                              </w:rPr>
                              <w:t>Learnline</w:t>
                            </w:r>
                            <w:proofErr w:type="spellEnd"/>
                          </w:p>
                        </w:txbxContent>
                      </v:textbox>
                    </v:shape>
                  </w:pict>
                </mc:Fallback>
              </mc:AlternateContent>
            </w:r>
          </w:p>
        </w:tc>
        <w:tc>
          <w:tcPr>
            <w:tcW w:w="7513" w:type="dxa"/>
            <w:gridSpan w:val="2"/>
            <w:vMerge w:val="restart"/>
          </w:tcPr>
          <w:p w:rsidR="00091987" w:rsidRDefault="00091987" w:rsidP="00691C36">
            <w:pPr>
              <w:spacing w:before="240"/>
              <w:rPr>
                <w:b/>
              </w:rPr>
            </w:pPr>
            <w:r>
              <w:rPr>
                <w:noProof/>
                <w:lang w:eastAsia="en-AU"/>
              </w:rPr>
              <w:drawing>
                <wp:inline distT="0" distB="0" distL="0" distR="0" wp14:anchorId="232E86DB" wp14:editId="4AF854E7">
                  <wp:extent cx="4270075" cy="29005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92753" cy="2915954"/>
                          </a:xfrm>
                          <a:prstGeom prst="rect">
                            <a:avLst/>
                          </a:prstGeom>
                        </pic:spPr>
                      </pic:pic>
                    </a:graphicData>
                  </a:graphic>
                </wp:inline>
              </w:drawing>
            </w:r>
          </w:p>
        </w:tc>
      </w:tr>
      <w:tr w:rsidR="00091987" w:rsidTr="00691C36">
        <w:trPr>
          <w:trHeight w:val="777"/>
          <w:jc w:val="center"/>
        </w:trPr>
        <w:tc>
          <w:tcPr>
            <w:tcW w:w="959" w:type="dxa"/>
          </w:tcPr>
          <w:p w:rsidR="00091987" w:rsidRDefault="00091987" w:rsidP="00691C36">
            <w:pPr>
              <w:spacing w:before="240"/>
              <w:rPr>
                <w:b/>
              </w:rPr>
            </w:pPr>
            <w:r w:rsidRPr="00DF6277">
              <w:rPr>
                <w:b/>
                <w:noProof/>
                <w:lang w:eastAsia="en-AU"/>
              </w:rPr>
              <mc:AlternateContent>
                <mc:Choice Requires="wps">
                  <w:drawing>
                    <wp:anchor distT="0" distB="0" distL="114300" distR="114300" simplePos="0" relativeHeight="251662336" behindDoc="0" locked="0" layoutInCell="1" allowOverlap="1" wp14:anchorId="33DDF77D" wp14:editId="656C3A85">
                      <wp:simplePos x="0" y="0"/>
                      <wp:positionH relativeFrom="column">
                        <wp:posOffset>238760</wp:posOffset>
                      </wp:positionH>
                      <wp:positionV relativeFrom="paragraph">
                        <wp:posOffset>0</wp:posOffset>
                      </wp:positionV>
                      <wp:extent cx="2374265"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100"/>
                              </a:xfrm>
                              <a:prstGeom prst="rect">
                                <a:avLst/>
                              </a:prstGeom>
                              <a:noFill/>
                              <a:ln w="9525">
                                <a:noFill/>
                                <a:miter lim="800000"/>
                                <a:headEnd/>
                                <a:tailEnd/>
                              </a:ln>
                            </wps:spPr>
                            <wps:txbx>
                              <w:txbxContent>
                                <w:p w:rsidR="00DB593B" w:rsidRPr="00DF6277" w:rsidRDefault="00DB593B" w:rsidP="00091987">
                                  <w:pPr>
                                    <w:spacing w:after="0" w:line="240" w:lineRule="auto"/>
                                    <w:jc w:val="center"/>
                                    <w:rPr>
                                      <w:i/>
                                    </w:rPr>
                                  </w:pPr>
                                  <w:r w:rsidRPr="00DF6277">
                                    <w:rPr>
                                      <w:i/>
                                    </w:rPr>
                                    <w:t>Collaborate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8.8pt;margin-top:0;width:186.95pt;height:93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" filled="f" stroked="f">
                      <v:textbox style="layout-flow:vertical;mso-layout-flow-alt:bottom-to-top;mso-fit-shape-to-text:t">
                        <w:txbxContent>
                          <w:p w:rsidR="00DB593B" w:rsidRPr="00DF6277" w:rsidRDefault="00DB593B" w:rsidP="00091987">
                            <w:pPr>
                              <w:spacing w:after="0" w:line="240" w:lineRule="auto"/>
                              <w:jc w:val="center"/>
                              <w:rPr>
                                <w:i/>
                              </w:rPr>
                            </w:pPr>
                            <w:r w:rsidRPr="00DF6277">
                              <w:rPr>
                                <w:i/>
                              </w:rPr>
                              <w:t>Collaborate</w:t>
                            </w:r>
                          </w:p>
                        </w:txbxContent>
                      </v:textbox>
                    </v:shape>
                  </w:pict>
                </mc:Fallback>
              </mc:AlternateContent>
            </w:r>
          </w:p>
        </w:tc>
        <w:tc>
          <w:tcPr>
            <w:tcW w:w="7513" w:type="dxa"/>
            <w:gridSpan w:val="2"/>
            <w:vMerge/>
          </w:tcPr>
          <w:p w:rsidR="00091987" w:rsidRDefault="00091987" w:rsidP="00691C36">
            <w:pPr>
              <w:spacing w:before="240"/>
              <w:rPr>
                <w:b/>
              </w:rPr>
            </w:pPr>
          </w:p>
        </w:tc>
      </w:tr>
    </w:tbl>
    <w:p w:rsidR="00091987" w:rsidRPr="00F23A3B" w:rsidRDefault="00091987" w:rsidP="00091987">
      <w:pPr>
        <w:spacing w:after="0"/>
        <w:ind w:firstLine="720"/>
        <w:rPr>
          <w:b/>
        </w:rPr>
      </w:pPr>
      <w:r w:rsidRPr="00F23A3B">
        <w:rPr>
          <w:b/>
        </w:rPr>
        <w:t xml:space="preserve">(Untreated = </w:t>
      </w:r>
      <w:r w:rsidRPr="00F23A3B">
        <w:rPr>
          <w:b/>
          <w:highlight w:val="yellow"/>
        </w:rPr>
        <w:t>Yellow</w:t>
      </w:r>
      <w:r w:rsidRPr="00F23A3B">
        <w:rPr>
          <w:b/>
        </w:rPr>
        <w:t xml:space="preserve">; Treated = </w:t>
      </w:r>
      <w:r w:rsidRPr="00F23A3B">
        <w:rPr>
          <w:b/>
          <w:highlight w:val="darkGreen"/>
        </w:rPr>
        <w:t>Green</w:t>
      </w:r>
    </w:p>
    <w:p w:rsidR="00091987" w:rsidRDefault="00091987" w:rsidP="00091987">
      <w:pPr>
        <w:spacing w:after="0"/>
      </w:pPr>
    </w:p>
    <w:p w:rsidR="00091987" w:rsidRPr="00A26279" w:rsidRDefault="00091987" w:rsidP="00091987">
      <w:r w:rsidRPr="00A26279">
        <w:t>Whereas the predicted grades for the “untreated” tend to cluster within a single (though negatively skewed) distribution, the</w:t>
      </w:r>
      <w:r>
        <w:t xml:space="preserve"> </w:t>
      </w:r>
      <w:r w:rsidRPr="00A26279">
        <w:t>histograms of the counterfactual scores for</w:t>
      </w:r>
      <w:r>
        <w:t xml:space="preserve"> </w:t>
      </w:r>
      <w:r w:rsidRPr="00A26279">
        <w:t xml:space="preserve">both </w:t>
      </w:r>
      <w:proofErr w:type="spellStart"/>
      <w:r w:rsidRPr="00A26279">
        <w:t>Learnline</w:t>
      </w:r>
      <w:proofErr w:type="spellEnd"/>
      <w:r w:rsidRPr="00A26279">
        <w:t xml:space="preserve"> and Collaborate samples reveals an underlying bimodality that is only partially detected or largely obscured.</w:t>
      </w:r>
      <w:r>
        <w:t xml:space="preserve"> </w:t>
      </w:r>
      <w:r w:rsidRPr="00A26279">
        <w:t>Unless correction is made through experimen</w:t>
      </w:r>
      <w:r>
        <w:t>t</w:t>
      </w:r>
      <w:r w:rsidRPr="00A26279">
        <w:t>al design or, as here, by counterfactual estimation techniques, these</w:t>
      </w:r>
      <w:r>
        <w:t xml:space="preserve"> </w:t>
      </w:r>
      <w:r w:rsidRPr="00A26279">
        <w:t>deeper divisions in the patterns of first year achievement would</w:t>
      </w:r>
      <w:r>
        <w:t xml:space="preserve"> </w:t>
      </w:r>
      <w:r w:rsidRPr="00A26279">
        <w:t>remain invisible and the opportunity</w:t>
      </w:r>
      <w:r>
        <w:t xml:space="preserve"> </w:t>
      </w:r>
      <w:r w:rsidRPr="00A26279">
        <w:t xml:space="preserve">for informed remedial action severely restricted. </w:t>
      </w:r>
    </w:p>
    <w:p w:rsidR="00091987" w:rsidRPr="00A26279" w:rsidRDefault="00091987" w:rsidP="008209C9">
      <w:pPr>
        <w:pStyle w:val="ListParagraph"/>
        <w:numPr>
          <w:ilvl w:val="0"/>
          <w:numId w:val="7"/>
        </w:numPr>
        <w:spacing w:after="240"/>
        <w:ind w:left="714" w:hanging="357"/>
      </w:pPr>
      <w:r w:rsidRPr="00A26279">
        <w:t>What are the</w:t>
      </w:r>
      <w:r>
        <w:t xml:space="preserve"> </w:t>
      </w:r>
      <w:r w:rsidRPr="00A26279">
        <w:t xml:space="preserve">implications of this interpretation for research directions and educational practice? </w:t>
      </w:r>
    </w:p>
    <w:p w:rsidR="00091987" w:rsidRPr="00A26279" w:rsidRDefault="00091987" w:rsidP="00091987">
      <w:r w:rsidRPr="00A26279">
        <w:t>The directions for future research and educational practice for online learning are implied in</w:t>
      </w:r>
      <w:r>
        <w:t xml:space="preserve"> </w:t>
      </w:r>
      <w:r w:rsidRPr="00A26279">
        <w:t>finding from the counterfactual modelling of this section:</w:t>
      </w:r>
    </w:p>
    <w:p w:rsidR="00091987" w:rsidRPr="00266977" w:rsidRDefault="00091987" w:rsidP="00091987">
      <w:pPr>
        <w:rPr>
          <w:i/>
        </w:rPr>
      </w:pPr>
      <w:r w:rsidRPr="00266977">
        <w:rPr>
          <w:i/>
        </w:rPr>
        <w:t>If the research into of the effects of online Activity on awarded grades were to be conducted as a controlled experiment where students were randomly assigned to either higher (“treated”) or lower (“untreated”) levels of Activity/ Participation, then it is likely that the grades of the ‘treated’ group would be only marginally higher, while those in the “untreated” group would be considerably lower.</w:t>
      </w:r>
    </w:p>
    <w:p w:rsidR="00091987" w:rsidRPr="00A26279" w:rsidRDefault="00091987" w:rsidP="00091987">
      <w:r w:rsidRPr="00A26279">
        <w:t>Research into online effects</w:t>
      </w:r>
      <w:r>
        <w:t xml:space="preserve"> </w:t>
      </w:r>
      <w:r w:rsidRPr="00A26279">
        <w:t>might focus on the drive</w:t>
      </w:r>
      <w:r>
        <w:t>r</w:t>
      </w:r>
      <w:r w:rsidRPr="00A26279">
        <w:t>s of</w:t>
      </w:r>
      <w:r>
        <w:t xml:space="preserve"> </w:t>
      </w:r>
      <w:r w:rsidRPr="00A26279">
        <w:t>potential losses, rather than of potential gains, in academic outcomes. This insight</w:t>
      </w:r>
      <w:r>
        <w:t xml:space="preserve"> </w:t>
      </w:r>
      <w:r w:rsidRPr="00A26279">
        <w:t>would therefore appear to</w:t>
      </w:r>
      <w:r>
        <w:t xml:space="preserve"> </w:t>
      </w:r>
      <w:r w:rsidRPr="00A26279">
        <w:t>turn the original research question on its head. Rather than enquiring:</w:t>
      </w:r>
      <w:r>
        <w:t xml:space="preserve"> </w:t>
      </w:r>
      <w:r w:rsidRPr="00A26279">
        <w:t>“Who would benefit most from higher levels of online Activity?”, a more productive question for educational research might well be :</w:t>
      </w:r>
      <w:r>
        <w:t xml:space="preserve"> </w:t>
      </w:r>
      <w:r w:rsidRPr="00A26279">
        <w:t>“Who is most at risk of poorer outcomes due to</w:t>
      </w:r>
      <w:r>
        <w:t xml:space="preserve"> </w:t>
      </w:r>
      <w:r w:rsidRPr="00A26279">
        <w:t>lower rates of online Activity</w:t>
      </w:r>
      <w:r>
        <w:t xml:space="preserve"> </w:t>
      </w:r>
      <w:r w:rsidRPr="00A26279">
        <w:t xml:space="preserve">and how can these students be identified and more productively engaged?” </w:t>
      </w:r>
    </w:p>
    <w:p w:rsidR="00715E8E" w:rsidRDefault="00715E8E">
      <w:pPr>
        <w:rPr>
          <w:rFonts w:eastAsiaTheme="majorEastAsia" w:cstheme="majorBidi"/>
          <w:b/>
          <w:bCs/>
          <w:sz w:val="26"/>
          <w:szCs w:val="26"/>
        </w:rPr>
      </w:pPr>
      <w:r>
        <w:br w:type="page"/>
      </w:r>
    </w:p>
    <w:p w:rsidR="00091987" w:rsidRPr="00A26279" w:rsidRDefault="00091987" w:rsidP="00715E8E">
      <w:pPr>
        <w:pStyle w:val="Heading2"/>
      </w:pPr>
      <w:bookmarkStart w:id="25" w:name="_Toc517439489"/>
      <w:r w:rsidRPr="00A26279">
        <w:lastRenderedPageBreak/>
        <w:t>Summary and Conclusions</w:t>
      </w:r>
      <w:bookmarkEnd w:id="25"/>
      <w:r>
        <w:t xml:space="preserve"> </w:t>
      </w:r>
    </w:p>
    <w:p w:rsidR="00091987" w:rsidRPr="00A26279" w:rsidRDefault="00091987" w:rsidP="00091987">
      <w:r w:rsidRPr="00A26279">
        <w:t>The</w:t>
      </w:r>
      <w:r>
        <w:t xml:space="preserve"> </w:t>
      </w:r>
      <w:r w:rsidRPr="00A26279">
        <w:t>value of the counterfactual</w:t>
      </w:r>
      <w:r>
        <w:t xml:space="preserve"> </w:t>
      </w:r>
      <w:r w:rsidRPr="00A26279">
        <w:t>framework does not appear not depend primarily</w:t>
      </w:r>
      <w:r>
        <w:t xml:space="preserve"> </w:t>
      </w:r>
      <w:r w:rsidRPr="00A26279">
        <w:t>in maximising the predictive value (e</w:t>
      </w:r>
      <w:r>
        <w:t>.</w:t>
      </w:r>
      <w:r w:rsidRPr="00A26279">
        <w:t>g</w:t>
      </w:r>
      <w:r>
        <w:t>.</w:t>
      </w:r>
      <w:r w:rsidRPr="00A26279">
        <w:t xml:space="preserve"> “effect size”) of a treatment</w:t>
      </w:r>
      <w:r>
        <w:t xml:space="preserve"> </w:t>
      </w:r>
      <w:r w:rsidRPr="00A26279">
        <w:t>on a given</w:t>
      </w:r>
      <w:r>
        <w:t xml:space="preserve"> </w:t>
      </w:r>
      <w:r w:rsidRPr="00A26279">
        <w:t>sample. To the contrary, the findings indicate a</w:t>
      </w:r>
      <w:r>
        <w:t xml:space="preserve"> </w:t>
      </w:r>
      <w:r w:rsidRPr="00A26279">
        <w:t>more productive strategy that can detect,</w:t>
      </w:r>
      <w:r>
        <w:t xml:space="preserve"> </w:t>
      </w:r>
      <w:r w:rsidRPr="00A26279">
        <w:t>isolate and address those unobserved factors or “non-ignorable confounders” that either inhibit or enhance a propensity for online activity and participation.</w:t>
      </w:r>
      <w:r>
        <w:t xml:space="preserve"> </w:t>
      </w:r>
      <w:r w:rsidRPr="00A26279">
        <w:t>These results demonstrate that, without controlling for the disproportionate tendency in student populations of those do well academically to also be more active online, the correlational/ regression method will both underestimate the size of</w:t>
      </w:r>
      <w:r>
        <w:t xml:space="preserve"> </w:t>
      </w:r>
      <w:r w:rsidRPr="00A26279">
        <w:t>online treatment effects and guide research activity into less productive directions.</w:t>
      </w:r>
    </w:p>
    <w:p w:rsidR="00091987" w:rsidRPr="00A26279" w:rsidRDefault="00091987" w:rsidP="00091987">
      <w:r w:rsidRPr="00A26279">
        <w:t>These findings may also help to define the limitations of educ</w:t>
      </w:r>
      <w:r>
        <w:t>a</w:t>
      </w:r>
      <w:r w:rsidRPr="00A26279">
        <w:t>tional</w:t>
      </w:r>
      <w:r>
        <w:t xml:space="preserve"> </w:t>
      </w:r>
      <w:r w:rsidRPr="00A26279">
        <w:t>policy and practice, since universities by themselves cannot manipulate the wider sociological and cultural</w:t>
      </w:r>
      <w:r>
        <w:t xml:space="preserve"> </w:t>
      </w:r>
      <w:r w:rsidRPr="00A26279">
        <w:t>forces that lie behind the processes of self-selection to treatment. Education, as it is often said, “cannot compensate for society”. The objective of research should therefor</w:t>
      </w:r>
      <w:r>
        <w:t xml:space="preserve">e </w:t>
      </w:r>
      <w:r w:rsidRPr="00A26279">
        <w:t>be to</w:t>
      </w:r>
      <w:r>
        <w:t xml:space="preserve"> </w:t>
      </w:r>
      <w:r w:rsidRPr="00A26279">
        <w:t>identify and address those</w:t>
      </w:r>
      <w:r>
        <w:t xml:space="preserve"> </w:t>
      </w:r>
      <w:r w:rsidRPr="00A26279">
        <w:t xml:space="preserve">which can be manipulated by program development and delivery that remove or address the sources of “blockage” to online Activity or Participation. </w:t>
      </w:r>
    </w:p>
    <w:p w:rsidR="00091987" w:rsidRPr="00A26279" w:rsidRDefault="00091987" w:rsidP="00091987">
      <w:r w:rsidRPr="00A26279">
        <w:t>In sum, the research problem seems to be one of detecting and overcoming the unobserved</w:t>
      </w:r>
      <w:r>
        <w:t xml:space="preserve"> </w:t>
      </w:r>
      <w:r w:rsidRPr="00A26279">
        <w:t>deterrents to higher levels of Activity, rather than encouraging those who already have a prior disposition to engage to gain a marginal advantage. A</w:t>
      </w:r>
      <w:r>
        <w:t xml:space="preserve"> </w:t>
      </w:r>
      <w:r w:rsidRPr="00A26279">
        <w:t>tendency of “preaching to the converted” by general exhortations or inducements</w:t>
      </w:r>
      <w:r>
        <w:t xml:space="preserve"> </w:t>
      </w:r>
      <w:r w:rsidRPr="00A26279">
        <w:t>would seem not be not nearly as productive, then, as a targeted approach that paid attention to the unobserved factors defining those divisions in</w:t>
      </w:r>
      <w:r>
        <w:t xml:space="preserve"> </w:t>
      </w:r>
      <w:r w:rsidRPr="00A26279">
        <w:t>the first year student population that are often disguised</w:t>
      </w:r>
      <w:r>
        <w:t xml:space="preserve"> </w:t>
      </w:r>
      <w:r w:rsidRPr="00A26279">
        <w:t xml:space="preserve">in purely correlational findings. </w:t>
      </w:r>
    </w:p>
    <w:p w:rsidR="00091987" w:rsidRPr="00A26279" w:rsidRDefault="00091987" w:rsidP="00091987">
      <w:r w:rsidRPr="00266977">
        <w:rPr>
          <w:b/>
        </w:rPr>
        <w:t>Suggested Directions for further research</w:t>
      </w:r>
      <w:r w:rsidRPr="00A26279">
        <w:t>:</w:t>
      </w:r>
      <w:r>
        <w:t xml:space="preserve"> </w:t>
      </w:r>
      <w:r w:rsidRPr="00A26279">
        <w:t>The positive and encouraging results of this analysis recommend</w:t>
      </w:r>
      <w:r>
        <w:t xml:space="preserve"> </w:t>
      </w:r>
      <w:r w:rsidRPr="00A26279">
        <w:t xml:space="preserve">further exploration of the causal effects of online engagement as a moderating and mediating student background, notably: </w:t>
      </w:r>
    </w:p>
    <w:p w:rsidR="00091987" w:rsidRPr="00A26279" w:rsidRDefault="00091987" w:rsidP="008209C9">
      <w:pPr>
        <w:pStyle w:val="ListParagraph"/>
        <w:numPr>
          <w:ilvl w:val="0"/>
          <w:numId w:val="4"/>
        </w:numPr>
      </w:pPr>
      <w:r w:rsidRPr="00A26279">
        <w:t>Identification of the source,</w:t>
      </w:r>
      <w:r>
        <w:t xml:space="preserve"> </w:t>
      </w:r>
      <w:r w:rsidRPr="00A26279">
        <w:t xml:space="preserve">structure and significance of the unmeasured influences that apparently exert a suppression effect on online learning and its positive effect on potential grades. </w:t>
      </w:r>
    </w:p>
    <w:p w:rsidR="00091987" w:rsidRPr="00A26279" w:rsidRDefault="00091987" w:rsidP="008209C9">
      <w:pPr>
        <w:pStyle w:val="ListParagraph"/>
        <w:numPr>
          <w:ilvl w:val="0"/>
          <w:numId w:val="4"/>
        </w:numPr>
      </w:pPr>
      <w:r w:rsidRPr="00A26279">
        <w:t>Inclusion</w:t>
      </w:r>
      <w:r>
        <w:t xml:space="preserve"> </w:t>
      </w:r>
      <w:r w:rsidRPr="00A26279">
        <w:t>of non-participating</w:t>
      </w:r>
      <w:r>
        <w:t xml:space="preserve"> </w:t>
      </w:r>
      <w:r w:rsidRPr="00A26279">
        <w:t>groups (esp. for</w:t>
      </w:r>
      <w:r>
        <w:t xml:space="preserve"> </w:t>
      </w:r>
      <w:r w:rsidRPr="00A26279">
        <w:t>Collaborate) in the evaluation samples, together with more</w:t>
      </w:r>
      <w:r>
        <w:t xml:space="preserve"> </w:t>
      </w:r>
      <w:r w:rsidRPr="00A26279">
        <w:t xml:space="preserve">precise description of the individual activity items accessed for </w:t>
      </w:r>
      <w:proofErr w:type="spellStart"/>
      <w:r w:rsidRPr="00A26279">
        <w:t>Learnline</w:t>
      </w:r>
      <w:proofErr w:type="spellEnd"/>
      <w:r w:rsidRPr="00A26279">
        <w:t>.</w:t>
      </w:r>
    </w:p>
    <w:p w:rsidR="00091987" w:rsidRPr="00A26279" w:rsidRDefault="00091987" w:rsidP="008209C9">
      <w:pPr>
        <w:pStyle w:val="ListParagraph"/>
        <w:numPr>
          <w:ilvl w:val="0"/>
          <w:numId w:val="4"/>
        </w:numPr>
      </w:pPr>
      <w:r w:rsidRPr="00A26279">
        <w:t>Exploration of non-linear and non-additive effects of online Activity, as well as of covariate and ‘treatment interactions.</w:t>
      </w:r>
    </w:p>
    <w:p w:rsidR="00091987" w:rsidRPr="00A26279" w:rsidRDefault="00091987" w:rsidP="008209C9">
      <w:pPr>
        <w:pStyle w:val="ListParagraph"/>
        <w:numPr>
          <w:ilvl w:val="0"/>
          <w:numId w:val="4"/>
        </w:numPr>
      </w:pPr>
      <w:r w:rsidRPr="00A26279">
        <w:t>Extensions of the present counterfactual</w:t>
      </w:r>
      <w:r>
        <w:t xml:space="preserve"> </w:t>
      </w:r>
      <w:r w:rsidRPr="00A26279">
        <w:t>model to include other</w:t>
      </w:r>
      <w:r>
        <w:t xml:space="preserve"> </w:t>
      </w:r>
      <w:r w:rsidRPr="00A26279">
        <w:t xml:space="preserve">forms of student engagement, especially with learning-related systems, such as support and library services. </w:t>
      </w:r>
    </w:p>
    <w:p w:rsidR="00091987" w:rsidRPr="00A26279" w:rsidRDefault="00091987" w:rsidP="008209C9">
      <w:pPr>
        <w:pStyle w:val="ListParagraph"/>
        <w:numPr>
          <w:ilvl w:val="0"/>
          <w:numId w:val="4"/>
        </w:numPr>
      </w:pPr>
      <w:r w:rsidRPr="00A26279">
        <w:t>Estimation of the effects of online and ethically-approved social media for community-building from</w:t>
      </w:r>
      <w:r>
        <w:t xml:space="preserve"> </w:t>
      </w:r>
      <w:r w:rsidRPr="00A26279">
        <w:t>both course-related and informal networking.</w:t>
      </w:r>
      <w:r>
        <w:t xml:space="preserve"> </w:t>
      </w:r>
    </w:p>
    <w:p w:rsidR="00091987" w:rsidRDefault="00091987" w:rsidP="00091987">
      <w:r w:rsidRPr="00A26279">
        <w:t>The task ahead, therefore,</w:t>
      </w:r>
      <w:r>
        <w:t xml:space="preserve"> </w:t>
      </w:r>
      <w:r w:rsidRPr="00A26279">
        <w:t xml:space="preserve">is </w:t>
      </w:r>
      <w:r>
        <w:t>to identify the source of th</w:t>
      </w:r>
      <w:r w:rsidRPr="00A26279">
        <w:t>e effect of those “confounders” that reduce the</w:t>
      </w:r>
      <w:r>
        <w:t xml:space="preserve"> </w:t>
      </w:r>
      <w:r w:rsidRPr="00A26279">
        <w:t>potentially benefic</w:t>
      </w:r>
      <w:r>
        <w:t>i</w:t>
      </w:r>
      <w:r w:rsidRPr="00A26279">
        <w:t>al effects of access to online Activity and Participation. In light of the finding that motivational factors do not appear to be playing a significant part, further exploration of this</w:t>
      </w:r>
      <w:r>
        <w:t xml:space="preserve"> </w:t>
      </w:r>
      <w:r w:rsidRPr="00A26279">
        <w:t>“undiscovered territory” might yield</w:t>
      </w:r>
      <w:r>
        <w:t xml:space="preserve"> </w:t>
      </w:r>
      <w:r w:rsidRPr="00A26279">
        <w:t>important insights into strategies of for more effective pedagogic and managerial</w:t>
      </w:r>
      <w:r>
        <w:t xml:space="preserve"> </w:t>
      </w:r>
      <w:r w:rsidRPr="00A26279">
        <w:t>intervention. It is in this area that the qualitative finding</w:t>
      </w:r>
      <w:r>
        <w:t>s</w:t>
      </w:r>
      <w:r w:rsidRPr="00A26279">
        <w:t xml:space="preserve"> from focus groups and survey research have an important role to play, in detecting those factors surrounding social, cultural and linguistic backgrounds situations of first year student, their technological readiness and interface with work, family and leisure that inhibit or enhance the</w:t>
      </w:r>
      <w:r>
        <w:t xml:space="preserve"> </w:t>
      </w:r>
      <w:r w:rsidRPr="00A26279">
        <w:t>quality of their interaction with online learning media.</w:t>
      </w:r>
    </w:p>
    <w:p w:rsidR="008F1CF5" w:rsidRPr="00496513" w:rsidRDefault="00091987" w:rsidP="00091987">
      <w:pPr>
        <w:spacing w:after="120"/>
        <w:ind w:left="567"/>
        <w:rPr>
          <w:rFonts w:asciiTheme="minorHAnsi" w:hAnsiTheme="minorHAnsi" w:cstheme="minorHAnsi"/>
          <w:b/>
        </w:rPr>
      </w:pPr>
      <w:r>
        <w:br w:type="page"/>
      </w:r>
    </w:p>
    <w:p w:rsidR="0003358E" w:rsidRDefault="00B430C6" w:rsidP="008C6AC0">
      <w:pPr>
        <w:pStyle w:val="Heading2"/>
      </w:pPr>
      <w:bookmarkStart w:id="26" w:name="_Toc517439490"/>
      <w:r w:rsidRPr="00B430C6">
        <w:lastRenderedPageBreak/>
        <w:t>Bibliography</w:t>
      </w:r>
      <w:bookmarkEnd w:id="26"/>
    </w:p>
    <w:p w:rsidR="00091987" w:rsidRPr="00523227" w:rsidRDefault="00091987" w:rsidP="00091987">
      <w:pPr>
        <w:ind w:left="567" w:hanging="567"/>
      </w:pPr>
      <w:r w:rsidRPr="00523227">
        <w:t xml:space="preserve">Burke, L 2017 </w:t>
      </w:r>
      <w:r>
        <w:t>‘</w:t>
      </w:r>
      <w:r w:rsidRPr="00523227">
        <w:t>Nation of dropouts: University completion rates drop to a new low</w:t>
      </w:r>
      <w:r>
        <w:t xml:space="preserve">’, </w:t>
      </w:r>
      <w:r>
        <w:br/>
      </w:r>
      <w:hyperlink r:id="rId20" w:history="1">
        <w:r w:rsidRPr="00523227">
          <w:t>https://www.news.com.au/finance/work/careers/nation-of-dropouts-university-completion-rates-drop-to-a-new-low/news-story/1265f4d9872db263694aaa74f815c432</w:t>
        </w:r>
      </w:hyperlink>
    </w:p>
    <w:p w:rsidR="00091987" w:rsidRPr="00523227" w:rsidRDefault="00091987" w:rsidP="00091987">
      <w:pPr>
        <w:ind w:left="567" w:hanging="567"/>
      </w:pPr>
      <w:r>
        <w:t>Bradley, D</w:t>
      </w:r>
      <w:r w:rsidRPr="00523227">
        <w:t xml:space="preserve"> </w:t>
      </w:r>
      <w:r>
        <w:t>2008,</w:t>
      </w:r>
      <w:r w:rsidRPr="00523227">
        <w:t xml:space="preserve"> </w:t>
      </w:r>
      <w:r w:rsidRPr="00523227">
        <w:rPr>
          <w:i/>
        </w:rPr>
        <w:t>Review of Australian Higher Education: Final Report, Commonwealth of Australia</w:t>
      </w:r>
      <w:r w:rsidRPr="00523227">
        <w:t>, Commonwealth Department of Education, Employment and Work Relatio</w:t>
      </w:r>
      <w:r>
        <w:t xml:space="preserve">ns </w:t>
      </w:r>
      <w:hyperlink r:id="rId21" w:history="1">
        <w:r w:rsidRPr="00523227">
          <w:t>http://www.deewr.gov.au/HigherEducation/Review/Documents/PDF/Higher%20Education%20Review_one%20document_02.pdf</w:t>
        </w:r>
      </w:hyperlink>
    </w:p>
    <w:p w:rsidR="00091987" w:rsidRPr="00523227" w:rsidRDefault="00091987" w:rsidP="00091987">
      <w:pPr>
        <w:ind w:left="567" w:hanging="567"/>
      </w:pPr>
      <w:proofErr w:type="spellStart"/>
      <w:r w:rsidRPr="00523227">
        <w:t>Brame</w:t>
      </w:r>
      <w:proofErr w:type="spellEnd"/>
      <w:r>
        <w:t>,</w:t>
      </w:r>
      <w:r w:rsidRPr="00523227">
        <w:t xml:space="preserve"> CJ</w:t>
      </w:r>
      <w:r>
        <w:t xml:space="preserve"> </w:t>
      </w:r>
      <w:r w:rsidRPr="00523227">
        <w:t xml:space="preserve">2013 </w:t>
      </w:r>
      <w:r w:rsidRPr="007565DD">
        <w:t>*</w:t>
      </w:r>
      <w:r w:rsidRPr="00B112EA">
        <w:rPr>
          <w:i/>
        </w:rPr>
        <w:t>Flipping the classroom</w:t>
      </w:r>
      <w:r>
        <w:t>,</w:t>
      </w:r>
      <w:r w:rsidRPr="00523227">
        <w:t xml:space="preserve"> Vanderbilt University </w:t>
      </w:r>
      <w:proofErr w:type="spellStart"/>
      <w:r w:rsidRPr="00523227">
        <w:t>Center</w:t>
      </w:r>
      <w:proofErr w:type="spellEnd"/>
      <w:r w:rsidRPr="00523227">
        <w:t xml:space="preserve"> for Teaching</w:t>
      </w:r>
      <w:r>
        <w:t>,</w:t>
      </w:r>
      <w:r>
        <w:br/>
      </w:r>
      <w:hyperlink r:id="rId22" w:history="1">
        <w:r w:rsidRPr="00523227">
          <w:t>http://cft.vanderbilt.edu/guides-sub-pages/flipping-the-classroom/</w:t>
        </w:r>
      </w:hyperlink>
    </w:p>
    <w:p w:rsidR="00091987" w:rsidRPr="00523227" w:rsidRDefault="00091987" w:rsidP="00091987">
      <w:pPr>
        <w:ind w:left="567" w:hanging="567"/>
      </w:pPr>
      <w:proofErr w:type="spellStart"/>
      <w:r w:rsidRPr="00523227">
        <w:t>Corbyn</w:t>
      </w:r>
      <w:proofErr w:type="spellEnd"/>
      <w:r w:rsidRPr="00523227">
        <w:t>, Z 2012</w:t>
      </w:r>
      <w:r>
        <w:t>,</w:t>
      </w:r>
      <w:r w:rsidRPr="00523227">
        <w:t xml:space="preserve"> </w:t>
      </w:r>
      <w:r>
        <w:t>‘</w:t>
      </w:r>
      <w:r w:rsidRPr="00523227">
        <w:t>Hype, hope or harbinger of doom?</w:t>
      </w:r>
      <w:r>
        <w:t>’,</w:t>
      </w:r>
      <w:r w:rsidRPr="00523227">
        <w:t xml:space="preserve"> </w:t>
      </w:r>
      <w:r w:rsidRPr="00B112EA">
        <w:rPr>
          <w:i/>
        </w:rPr>
        <w:t>Times Higher Education Supplement</w:t>
      </w:r>
      <w:r w:rsidRPr="00523227">
        <w:t xml:space="preserve">, </w:t>
      </w:r>
      <w:r>
        <w:t>6</w:t>
      </w:r>
      <w:r w:rsidRPr="00B112EA">
        <w:rPr>
          <w:vertAlign w:val="superscript"/>
        </w:rPr>
        <w:t>th</w:t>
      </w:r>
      <w:r>
        <w:t xml:space="preserve"> </w:t>
      </w:r>
      <w:r w:rsidRPr="00523227">
        <w:t xml:space="preserve">December. </w:t>
      </w:r>
    </w:p>
    <w:p w:rsidR="00091987" w:rsidRPr="00523227" w:rsidRDefault="00091987" w:rsidP="00091987">
      <w:pPr>
        <w:ind w:left="567" w:hanging="567"/>
      </w:pPr>
      <w:r w:rsidRPr="00523227">
        <w:t>Davies, M</w:t>
      </w:r>
      <w:r>
        <w:t xml:space="preserve"> </w:t>
      </w:r>
      <w:r w:rsidRPr="00523227">
        <w:t>2012</w:t>
      </w:r>
      <w:r>
        <w:t>, ‘</w:t>
      </w:r>
      <w:r w:rsidRPr="00523227">
        <w:t>Can Universities Survive the Digital Revolution</w:t>
      </w:r>
      <w:r>
        <w:t>’</w:t>
      </w:r>
      <w:r w:rsidRPr="00523227">
        <w:t xml:space="preserve"> </w:t>
      </w:r>
      <w:r w:rsidRPr="00E8342C">
        <w:rPr>
          <w:i/>
        </w:rPr>
        <w:t>Quadrant</w:t>
      </w:r>
      <w:r w:rsidRPr="00523227">
        <w:t xml:space="preserve">, </w:t>
      </w:r>
      <w:r>
        <w:t>vol.56, no. 12</w:t>
      </w:r>
      <w:r w:rsidRPr="00523227">
        <w:t xml:space="preserve">, </w:t>
      </w:r>
      <w:r>
        <w:t xml:space="preserve">pp. </w:t>
      </w:r>
      <w:r w:rsidRPr="00523227">
        <w:t>58-66.</w:t>
      </w:r>
    </w:p>
    <w:p w:rsidR="00091987" w:rsidRPr="00523227" w:rsidRDefault="00091987" w:rsidP="00091987">
      <w:pPr>
        <w:ind w:left="567" w:hanging="567"/>
      </w:pPr>
      <w:r w:rsidRPr="008E468F">
        <w:t>Department of Education, Employment and Work Relations (Commonwealth Government) 2012,</w:t>
      </w:r>
      <w:r w:rsidR="007565DD">
        <w:t xml:space="preserve"> </w:t>
      </w:r>
      <w:r w:rsidRPr="008E468F">
        <w:t>‘Higher Education’, in Year Book Australia, 2012, 1301.0, Australian Bureau of Statistics, Canberra.</w:t>
      </w:r>
    </w:p>
    <w:p w:rsidR="00091987" w:rsidRPr="00523227" w:rsidRDefault="00091987" w:rsidP="00091987">
      <w:pPr>
        <w:ind w:left="567" w:hanging="567"/>
      </w:pPr>
      <w:r w:rsidRPr="00523227">
        <w:t>Department of Education and Training (Commonwealth Government) 2017</w:t>
      </w:r>
      <w:r>
        <w:t>,</w:t>
      </w:r>
      <w:r w:rsidRPr="00523227">
        <w:t xml:space="preserve"> </w:t>
      </w:r>
      <w:r w:rsidRPr="008E468F">
        <w:rPr>
          <w:i/>
        </w:rPr>
        <w:t>Completion Rates of Higher Education Students - Cohort Analysis</w:t>
      </w:r>
      <w:r w:rsidRPr="00523227">
        <w:t>, 2005-2014.</w:t>
      </w:r>
    </w:p>
    <w:p w:rsidR="00091987" w:rsidRPr="00523227" w:rsidRDefault="00091987" w:rsidP="00091987">
      <w:pPr>
        <w:ind w:left="567" w:hanging="567"/>
      </w:pPr>
      <w:r w:rsidRPr="00523227">
        <w:t>Ernst &amp; Young 2012</w:t>
      </w:r>
      <w:r>
        <w:t>,</w:t>
      </w:r>
      <w:r w:rsidRPr="00523227">
        <w:t xml:space="preserve"> </w:t>
      </w:r>
      <w:r w:rsidRPr="008E468F">
        <w:rPr>
          <w:i/>
        </w:rPr>
        <w:t>University of the Future: a Thousand Year Institution on the Cusp of Profound Change</w:t>
      </w:r>
      <w:r>
        <w:rPr>
          <w:i/>
        </w:rPr>
        <w:t xml:space="preserve">, </w:t>
      </w:r>
      <w:hyperlink r:id="rId23" w:history="1">
        <w:r w:rsidRPr="00523227">
          <w:t>http://www.ey.com/Publication/vwLUAssets/University_of_the_future/$FILE/University_of_the_future_2012.pdf</w:t>
        </w:r>
      </w:hyperlink>
    </w:p>
    <w:p w:rsidR="00091987" w:rsidRPr="008E468F" w:rsidRDefault="00091987" w:rsidP="00091987">
      <w:pPr>
        <w:ind w:left="567" w:hanging="567"/>
      </w:pPr>
      <w:proofErr w:type="spellStart"/>
      <w:r w:rsidRPr="008E468F">
        <w:t>Guo</w:t>
      </w:r>
      <w:proofErr w:type="spellEnd"/>
      <w:r w:rsidRPr="008E468F">
        <w:t xml:space="preserve">, S &amp; Fraser, MW 2015, </w:t>
      </w:r>
      <w:r w:rsidRPr="008E468F">
        <w:rPr>
          <w:i/>
        </w:rPr>
        <w:t>Propensity Score Analysis: Statistical Methods and Applications</w:t>
      </w:r>
      <w:r w:rsidRPr="008E468F">
        <w:t>, Advanced Quantitative Techniques in the Social Sciences Series (11), Sage.</w:t>
      </w:r>
    </w:p>
    <w:p w:rsidR="00091987" w:rsidRPr="00523227" w:rsidRDefault="00091987" w:rsidP="00091987">
      <w:pPr>
        <w:ind w:left="567" w:hanging="567"/>
      </w:pPr>
      <w:r w:rsidRPr="00523227">
        <w:t>James, R</w:t>
      </w:r>
      <w:r>
        <w:t xml:space="preserve"> </w:t>
      </w:r>
      <w:r w:rsidRPr="00523227">
        <w:t>2012</w:t>
      </w:r>
      <w:r>
        <w:t>,</w:t>
      </w:r>
      <w:r w:rsidRPr="00523227">
        <w:t xml:space="preserve"> </w:t>
      </w:r>
      <w:r>
        <w:t>‘</w:t>
      </w:r>
      <w:r w:rsidRPr="00523227">
        <w:t>Brace for the Dawn of Digital Delivery</w:t>
      </w:r>
      <w:r>
        <w:t>’</w:t>
      </w:r>
      <w:r w:rsidRPr="00523227">
        <w:t xml:space="preserve">, </w:t>
      </w:r>
      <w:r w:rsidRPr="000D715A">
        <w:rPr>
          <w:i/>
        </w:rPr>
        <w:t>The Australian Higher Education Supplement</w:t>
      </w:r>
      <w:r w:rsidRPr="00523227">
        <w:t xml:space="preserve">, </w:t>
      </w:r>
      <w:r>
        <w:t>24</w:t>
      </w:r>
      <w:r w:rsidRPr="000D715A">
        <w:rPr>
          <w:vertAlign w:val="superscript"/>
        </w:rPr>
        <w:t>th</w:t>
      </w:r>
      <w:r>
        <w:t xml:space="preserve"> October</w:t>
      </w:r>
      <w:r w:rsidRPr="00523227">
        <w:t>.</w:t>
      </w:r>
    </w:p>
    <w:p w:rsidR="00091987" w:rsidRPr="00523227" w:rsidRDefault="00091987" w:rsidP="00091987">
      <w:pPr>
        <w:ind w:left="567" w:hanging="567"/>
      </w:pPr>
      <w:proofErr w:type="spellStart"/>
      <w:r w:rsidRPr="00523227">
        <w:t>Moodie</w:t>
      </w:r>
      <w:proofErr w:type="spellEnd"/>
      <w:r w:rsidRPr="00523227">
        <w:t>, G</w:t>
      </w:r>
      <w:r>
        <w:t xml:space="preserve"> </w:t>
      </w:r>
      <w:r w:rsidRPr="00523227">
        <w:t xml:space="preserve">2010 </w:t>
      </w:r>
      <w:r>
        <w:t>‘</w:t>
      </w:r>
      <w:r w:rsidRPr="00523227">
        <w:t>Trends and Opportunities in Australian Higher Education Post 2012</w:t>
      </w:r>
      <w:r>
        <w:t>’</w:t>
      </w:r>
      <w:r w:rsidRPr="00523227">
        <w:t xml:space="preserve">, </w:t>
      </w:r>
      <w:r w:rsidRPr="002F0613">
        <w:rPr>
          <w:i/>
        </w:rPr>
        <w:t>University of New England Council Retreat, Bundarra, New South Wales</w:t>
      </w:r>
      <w:r>
        <w:rPr>
          <w:i/>
        </w:rPr>
        <w:t xml:space="preserve">, </w:t>
      </w:r>
      <w:hyperlink r:id="rId24" w:history="1">
        <w:r w:rsidRPr="00523227">
          <w:t>http://www.une.edu.au/governance/academicboard/Occasional%20Addresses/gavin-moodie.pdf</w:t>
        </w:r>
      </w:hyperlink>
    </w:p>
    <w:p w:rsidR="00091987" w:rsidRPr="00523227" w:rsidRDefault="00091987" w:rsidP="00091987">
      <w:pPr>
        <w:ind w:left="567" w:hanging="567"/>
      </w:pPr>
      <w:r w:rsidRPr="00523227">
        <w:t xml:space="preserve">Morgan, SL &amp; </w:t>
      </w:r>
      <w:proofErr w:type="spellStart"/>
      <w:r w:rsidRPr="00523227">
        <w:t>Winship</w:t>
      </w:r>
      <w:proofErr w:type="spellEnd"/>
      <w:r w:rsidRPr="00523227">
        <w:t>, C</w:t>
      </w:r>
      <w:r>
        <w:t xml:space="preserve"> </w:t>
      </w:r>
      <w:r w:rsidRPr="00523227">
        <w:t>2015</w:t>
      </w:r>
      <w:r>
        <w:t>,</w:t>
      </w:r>
      <w:r w:rsidRPr="00523227">
        <w:t xml:space="preserve"> </w:t>
      </w:r>
      <w:r w:rsidRPr="00AF1F8B">
        <w:rPr>
          <w:i/>
        </w:rPr>
        <w:t>Counterfactuals and Causal Inference:</w:t>
      </w:r>
      <w:r>
        <w:rPr>
          <w:i/>
        </w:rPr>
        <w:t xml:space="preserve"> </w:t>
      </w:r>
      <w:r w:rsidRPr="00AF1F8B">
        <w:rPr>
          <w:i/>
        </w:rPr>
        <w:t>Methods and Principles for Social Research</w:t>
      </w:r>
      <w:r>
        <w:t>, 2</w:t>
      </w:r>
      <w:r w:rsidRPr="00AF1F8B">
        <w:rPr>
          <w:vertAlign w:val="superscript"/>
        </w:rPr>
        <w:t>nd</w:t>
      </w:r>
      <w:r>
        <w:t xml:space="preserve"> </w:t>
      </w:r>
      <w:proofErr w:type="spellStart"/>
      <w:r>
        <w:t>edn</w:t>
      </w:r>
      <w:proofErr w:type="spellEnd"/>
      <w:r>
        <w:t xml:space="preserve">., Cambridge University Press, </w:t>
      </w:r>
      <w:r w:rsidRPr="00523227">
        <w:t>New York</w:t>
      </w:r>
      <w:r>
        <w:t>.</w:t>
      </w:r>
    </w:p>
    <w:p w:rsidR="00091987" w:rsidRPr="00523227" w:rsidRDefault="00091987" w:rsidP="00091987">
      <w:pPr>
        <w:ind w:left="567" w:hanging="567"/>
      </w:pPr>
      <w:r w:rsidRPr="00523227">
        <w:t>Nelson, K 2015</w:t>
      </w:r>
      <w:r>
        <w:t>,</w:t>
      </w:r>
      <w:r w:rsidRPr="00523227">
        <w:t xml:space="preserve"> </w:t>
      </w:r>
      <w:r>
        <w:t>‘</w:t>
      </w:r>
      <w:r w:rsidRPr="00523227">
        <w:t>Using K-Means Clustering to Model Students</w:t>
      </w:r>
      <w:r>
        <w:t>’</w:t>
      </w:r>
      <w:r w:rsidRPr="00523227">
        <w:t xml:space="preserve"> LMS Participation in Traditional Courses</w:t>
      </w:r>
      <w:r>
        <w:t>’</w:t>
      </w:r>
      <w:r w:rsidRPr="00523227">
        <w:t xml:space="preserve">, </w:t>
      </w:r>
      <w:r w:rsidRPr="00357BCB">
        <w:rPr>
          <w:i/>
        </w:rPr>
        <w:t>Issues in Information Systems</w:t>
      </w:r>
      <w:r>
        <w:t xml:space="preserve">, vol. </w:t>
      </w:r>
      <w:r w:rsidRPr="00523227">
        <w:t xml:space="preserve">16, </w:t>
      </w:r>
      <w:r>
        <w:t xml:space="preserve">no. 4, </w:t>
      </w:r>
      <w:r w:rsidRPr="00523227">
        <w:t>pp. 102-110</w:t>
      </w:r>
      <w:r>
        <w:t xml:space="preserve">. </w:t>
      </w:r>
    </w:p>
    <w:p w:rsidR="00091987" w:rsidRPr="00523227" w:rsidRDefault="00091987" w:rsidP="00091987">
      <w:pPr>
        <w:ind w:left="567" w:hanging="567"/>
      </w:pPr>
      <w:proofErr w:type="spellStart"/>
      <w:r w:rsidRPr="000D4010">
        <w:t>Oblinger</w:t>
      </w:r>
      <w:proofErr w:type="spellEnd"/>
      <w:r w:rsidRPr="000D4010">
        <w:t xml:space="preserve">, DG, Barone, CA, Hawkins, BI 2001, </w:t>
      </w:r>
      <w:r w:rsidRPr="000D4010">
        <w:rPr>
          <w:i/>
        </w:rPr>
        <w:t>Distributed Learning: Challenges, Choices and a New Environment</w:t>
      </w:r>
      <w:r w:rsidRPr="000D4010">
        <w:t xml:space="preserve">, </w:t>
      </w:r>
      <w:proofErr w:type="spellStart"/>
      <w:r w:rsidRPr="000D4010">
        <w:t>Educause</w:t>
      </w:r>
      <w:proofErr w:type="spellEnd"/>
      <w:r w:rsidRPr="000D4010">
        <w:t xml:space="preserve"> Series, D.C. American Council on Education, Washington.</w:t>
      </w:r>
      <w:r w:rsidRPr="00523227">
        <w:t xml:space="preserve"> </w:t>
      </w:r>
    </w:p>
    <w:p w:rsidR="00091987" w:rsidRPr="00523227" w:rsidRDefault="00091987" w:rsidP="00091987">
      <w:pPr>
        <w:ind w:left="567" w:hanging="567"/>
      </w:pPr>
      <w:r w:rsidRPr="00523227">
        <w:t>Organisation for Economic Co-operation and Development 2005</w:t>
      </w:r>
      <w:r>
        <w:t xml:space="preserve">, </w:t>
      </w:r>
      <w:r w:rsidRPr="00D66645">
        <w:rPr>
          <w:i/>
        </w:rPr>
        <w:t>The Measurement of Scientific and Technological Activities: Guidelines for Collecting and Interpreting Innovation Data</w:t>
      </w:r>
      <w:r w:rsidRPr="00523227">
        <w:t xml:space="preserve">, Oslo Manual, </w:t>
      </w:r>
      <w:r>
        <w:t>3</w:t>
      </w:r>
      <w:r w:rsidRPr="00D66645">
        <w:rPr>
          <w:vertAlign w:val="superscript"/>
        </w:rPr>
        <w:t>rd</w:t>
      </w:r>
      <w:r>
        <w:t xml:space="preserve"> </w:t>
      </w:r>
      <w:proofErr w:type="spellStart"/>
      <w:r>
        <w:t>edn</w:t>
      </w:r>
      <w:proofErr w:type="spellEnd"/>
      <w:r>
        <w:t>.,</w:t>
      </w:r>
      <w:r w:rsidRPr="00523227">
        <w:t xml:space="preserve"> Working Party of National Experts on Scientific and Technology Indicators, OECD, Paris,</w:t>
      </w:r>
      <w:r>
        <w:t xml:space="preserve"> </w:t>
      </w:r>
      <w:hyperlink r:id="rId25" w:history="1">
        <w:r w:rsidRPr="00523227">
          <w:t>http://stats.oecd.org/glossary/detail.asp?ID=6864</w:t>
        </w:r>
      </w:hyperlink>
    </w:p>
    <w:p w:rsidR="00091987" w:rsidRPr="00523227" w:rsidRDefault="00091987" w:rsidP="00091987">
      <w:pPr>
        <w:ind w:left="567" w:hanging="567"/>
      </w:pPr>
      <w:proofErr w:type="spellStart"/>
      <w:r w:rsidRPr="00523227">
        <w:lastRenderedPageBreak/>
        <w:t>Piccoli</w:t>
      </w:r>
      <w:proofErr w:type="spellEnd"/>
      <w:r w:rsidRPr="00523227">
        <w:t>, G, Rami, A</w:t>
      </w:r>
      <w:r>
        <w:t xml:space="preserve"> &amp;</w:t>
      </w:r>
      <w:r w:rsidRPr="00523227">
        <w:t xml:space="preserve"> Blake, I</w:t>
      </w:r>
      <w:r>
        <w:t xml:space="preserve"> </w:t>
      </w:r>
      <w:r w:rsidRPr="00523227">
        <w:t>2001</w:t>
      </w:r>
      <w:r>
        <w:t>, ‘W</w:t>
      </w:r>
      <w:r w:rsidRPr="00523227">
        <w:t>eb-based Virtual Learning Environments: A research framework and a preliminary assessment of effectiveness in basic IT skills training</w:t>
      </w:r>
      <w:r>
        <w:t>’</w:t>
      </w:r>
      <w:r w:rsidRPr="00523227">
        <w:t xml:space="preserve">. </w:t>
      </w:r>
      <w:r w:rsidRPr="00741578">
        <w:rPr>
          <w:i/>
        </w:rPr>
        <w:t>Management Information Systems Quarterly</w:t>
      </w:r>
      <w:r w:rsidRPr="00523227">
        <w:t xml:space="preserve">, </w:t>
      </w:r>
      <w:r>
        <w:t xml:space="preserve">vol. </w:t>
      </w:r>
      <w:r w:rsidRPr="00523227">
        <w:t>25</w:t>
      </w:r>
      <w:r>
        <w:t>, no. 4</w:t>
      </w:r>
      <w:r w:rsidRPr="00523227">
        <w:t xml:space="preserve">, </w:t>
      </w:r>
      <w:r>
        <w:t xml:space="preserve">pp. </w:t>
      </w:r>
      <w:r w:rsidRPr="00523227">
        <w:t>401-406.</w:t>
      </w:r>
    </w:p>
    <w:p w:rsidR="00091987" w:rsidRPr="00523227" w:rsidRDefault="00091987" w:rsidP="00091987">
      <w:pPr>
        <w:ind w:left="567" w:hanging="567"/>
      </w:pPr>
      <w:r w:rsidRPr="00523227">
        <w:t>Stata Corporation 2014</w:t>
      </w:r>
      <w:r>
        <w:t>,</w:t>
      </w:r>
      <w:r w:rsidRPr="00523227">
        <w:t xml:space="preserve"> Stata Treatment Effects Reference Manual: Potential Outcomes/ Counterfactual Outcomes</w:t>
      </w:r>
      <w:r>
        <w:t xml:space="preserve">, </w:t>
      </w:r>
      <w:r w:rsidRPr="00523227">
        <w:t>Release 14</w:t>
      </w:r>
      <w:r>
        <w:t>,</w:t>
      </w:r>
      <w:r w:rsidRPr="00523227">
        <w:t xml:space="preserve"> College Sta</w:t>
      </w:r>
      <w:r>
        <w:t>tion, Stata Corporation, Texas</w:t>
      </w:r>
      <w:r>
        <w:br/>
      </w:r>
      <w:hyperlink r:id="rId26" w:history="1">
        <w:r w:rsidRPr="00523227">
          <w:t>https://www.stata.com/manuals14/te.pdf</w:t>
        </w:r>
      </w:hyperlink>
    </w:p>
    <w:p w:rsidR="00091987" w:rsidRPr="00FD243A" w:rsidRDefault="00091987" w:rsidP="00091987">
      <w:pPr>
        <w:ind w:left="567" w:hanging="567"/>
      </w:pPr>
      <w:r w:rsidRPr="00FD243A">
        <w:t xml:space="preserve">Tyler, W, Rolls, N, Bridgeman, S &amp; Flack, M 2011, </w:t>
      </w:r>
      <w:r w:rsidRPr="00FD243A">
        <w:rPr>
          <w:i/>
        </w:rPr>
        <w:t>The Common Units: Equity, Achievement and Retention: an Innovative First Year University Program in Review</w:t>
      </w:r>
      <w:r w:rsidRPr="00FD243A">
        <w:t>, Report prepared for the Common Unit Management Group, School of Academic Language and Learning, Charles Darwin University.</w:t>
      </w:r>
    </w:p>
    <w:p w:rsidR="00091987" w:rsidRPr="00523227" w:rsidRDefault="00091987" w:rsidP="00091987">
      <w:pPr>
        <w:ind w:left="567" w:hanging="567"/>
      </w:pPr>
      <w:r w:rsidRPr="00523227">
        <w:t>Tyler, W &amp; Rolls, N</w:t>
      </w:r>
      <w:r>
        <w:t xml:space="preserve"> </w:t>
      </w:r>
      <w:r w:rsidRPr="00523227">
        <w:t>2016</w:t>
      </w:r>
      <w:r>
        <w:t>,</w:t>
      </w:r>
      <w:r w:rsidRPr="00523227">
        <w:t xml:space="preserve"> </w:t>
      </w:r>
      <w:r>
        <w:t>‘</w:t>
      </w:r>
      <w:r w:rsidRPr="00523227">
        <w:t>Caught in the net?: Innovation and performativity in an Australian university program</w:t>
      </w:r>
      <w:r>
        <w:t>’ i</w:t>
      </w:r>
      <w:r w:rsidRPr="00523227">
        <w:t>n Vitale</w:t>
      </w:r>
      <w:r>
        <w:t>, P.</w:t>
      </w:r>
      <w:r w:rsidRPr="00523227">
        <w:t xml:space="preserve"> &amp;</w:t>
      </w:r>
      <w:r>
        <w:t xml:space="preserve"> </w:t>
      </w:r>
      <w:r w:rsidRPr="00523227">
        <w:t>Exley</w:t>
      </w:r>
      <w:r>
        <w:t>, B</w:t>
      </w:r>
      <w:r w:rsidRPr="00523227">
        <w:t xml:space="preserve"> (</w:t>
      </w:r>
      <w:proofErr w:type="spellStart"/>
      <w:r>
        <w:t>eds</w:t>
      </w:r>
      <w:proofErr w:type="spellEnd"/>
      <w:r w:rsidRPr="00523227">
        <w:t xml:space="preserve">), </w:t>
      </w:r>
      <w:r w:rsidRPr="00E16279">
        <w:rPr>
          <w:i/>
        </w:rPr>
        <w:t>Pedagogic Rights and Democratic Education</w:t>
      </w:r>
      <w:r>
        <w:t xml:space="preserve">, </w:t>
      </w:r>
      <w:r w:rsidRPr="00523227">
        <w:t>Routledge.</w:t>
      </w:r>
    </w:p>
    <w:p w:rsidR="00091987" w:rsidRPr="00F21AA1" w:rsidRDefault="00091987" w:rsidP="00091987">
      <w:pPr>
        <w:ind w:left="567" w:hanging="567"/>
      </w:pPr>
      <w:r w:rsidRPr="00F21AA1">
        <w:t xml:space="preserve">Tyler-Smith, K 2006, ‘Early Attrition among First Time </w:t>
      </w:r>
      <w:proofErr w:type="spellStart"/>
      <w:r w:rsidRPr="00F21AA1">
        <w:t>eLearners</w:t>
      </w:r>
      <w:proofErr w:type="spellEnd"/>
      <w:r w:rsidRPr="00F21AA1">
        <w:t xml:space="preserve">: A Review of Factors that Contribute to Drop-out, Withdrawal and Non-completion Rates of Adult Learners undertaking eLearning Programmes’, </w:t>
      </w:r>
      <w:r w:rsidRPr="00F21AA1">
        <w:rPr>
          <w:i/>
        </w:rPr>
        <w:t>Journal of Online Learning and Teaching</w:t>
      </w:r>
      <w:r w:rsidRPr="00F21AA1">
        <w:t>,</w:t>
      </w:r>
      <w:r w:rsidRPr="00F21AA1">
        <w:br/>
        <w:t>http://jolt.merlot.org/vol2no2/tyler-smith.</w:t>
      </w:r>
    </w:p>
    <w:p w:rsidR="00091987" w:rsidRPr="00523227" w:rsidRDefault="00091987" w:rsidP="00091987">
      <w:pPr>
        <w:ind w:left="567" w:hanging="567"/>
      </w:pPr>
      <w:r w:rsidRPr="00523227">
        <w:t xml:space="preserve">Wooldridge, J. M. (2010). </w:t>
      </w:r>
      <w:r w:rsidRPr="00F21AA1">
        <w:rPr>
          <w:i/>
        </w:rPr>
        <w:t>Econometric Analysis of Cross Section and Panel Data</w:t>
      </w:r>
      <w:r>
        <w:rPr>
          <w:i/>
        </w:rPr>
        <w:t xml:space="preserve">, </w:t>
      </w:r>
      <w:r w:rsidRPr="00091987">
        <w:t>2</w:t>
      </w:r>
      <w:r w:rsidRPr="00091987">
        <w:rPr>
          <w:vertAlign w:val="superscript"/>
        </w:rPr>
        <w:t>nd</w:t>
      </w:r>
      <w:r w:rsidRPr="00091987">
        <w:t xml:space="preserve"> </w:t>
      </w:r>
      <w:proofErr w:type="spellStart"/>
      <w:r w:rsidRPr="00091987">
        <w:t>edn</w:t>
      </w:r>
      <w:proofErr w:type="spellEnd"/>
      <w:r>
        <w:rPr>
          <w:i/>
        </w:rPr>
        <w:t xml:space="preserve">., </w:t>
      </w:r>
      <w:r w:rsidRPr="00091987">
        <w:t>MIT Press</w:t>
      </w:r>
      <w:r>
        <w:rPr>
          <w:i/>
        </w:rPr>
        <w:t xml:space="preserve">. </w:t>
      </w:r>
    </w:p>
    <w:p w:rsidR="0032429A" w:rsidRDefault="0032429A">
      <w:r>
        <w:br w:type="page"/>
      </w:r>
    </w:p>
    <w:p w:rsidR="0032429A" w:rsidRPr="007565DD" w:rsidRDefault="0032429A" w:rsidP="0032429A">
      <w:pPr>
        <w:rPr>
          <w:b/>
        </w:rPr>
      </w:pPr>
      <w:bookmarkStart w:id="27" w:name="_Toc517439491"/>
      <w:r w:rsidRPr="00FF5B70">
        <w:rPr>
          <w:rStyle w:val="Heading2Char"/>
        </w:rPr>
        <w:lastRenderedPageBreak/>
        <w:t>Technical Appendices</w:t>
      </w:r>
      <w:bookmarkEnd w:id="27"/>
      <w:r w:rsidRPr="007565DD">
        <w:rPr>
          <w:b/>
        </w:rPr>
        <w:t>:  A. Regression (OLS) and Counterfactual Analysis Output</w:t>
      </w:r>
    </w:p>
    <w:p w:rsidR="0032429A" w:rsidRPr="004A2713" w:rsidRDefault="0032429A" w:rsidP="0032429A">
      <w:r>
        <w:t xml:space="preserve">B. </w:t>
      </w:r>
      <w:proofErr w:type="spellStart"/>
      <w:r>
        <w:t>Descriptives</w:t>
      </w:r>
      <w:proofErr w:type="spellEnd"/>
      <w:r>
        <w:t xml:space="preserve"> of Treated and Untreated Groups</w:t>
      </w:r>
    </w:p>
    <w:p w:rsidR="0032429A" w:rsidRDefault="0032429A" w:rsidP="0032429A">
      <w:r>
        <w:t>Table A.1  Detailed Results of  Bivariate Regression for Binary Activity/Participation Treatment Groups</w:t>
      </w:r>
      <w:r>
        <w:rPr>
          <w:rStyle w:val="FootnoteReference"/>
          <w:b/>
        </w:rPr>
        <w:footnoteReference w:id="6"/>
      </w:r>
    </w:p>
    <w:p w:rsidR="0032429A" w:rsidRDefault="0032429A" w:rsidP="0032429A">
      <w:pPr>
        <w:ind w:firstLine="3686"/>
      </w:pPr>
      <w:r>
        <w:t>(see Table 1 of Text)</w:t>
      </w:r>
    </w:p>
    <w:tbl>
      <w:tblPr>
        <w:tblW w:w="4741" w:type="dxa"/>
        <w:tblInd w:w="2157" w:type="dxa"/>
        <w:tblLook w:val="04A0" w:firstRow="1" w:lastRow="0" w:firstColumn="1" w:lastColumn="0" w:noHBand="0" w:noVBand="1"/>
      </w:tblPr>
      <w:tblGrid>
        <w:gridCol w:w="1740"/>
        <w:gridCol w:w="1720"/>
        <w:gridCol w:w="1281"/>
      </w:tblGrid>
      <w:tr w:rsidR="0032429A" w:rsidRPr="00066932" w:rsidTr="0032429A">
        <w:trPr>
          <w:trHeight w:val="300"/>
        </w:trPr>
        <w:tc>
          <w:tcPr>
            <w:tcW w:w="1740"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rPr>
                <w:rFonts w:ascii="Calibri" w:eastAsia="Times New Roman" w:hAnsi="Calibri" w:cs="Times New Roman"/>
                <w:b/>
                <w:bCs/>
                <w:i/>
                <w:iCs/>
                <w:color w:val="000000"/>
                <w:lang w:eastAsia="en-AU"/>
              </w:rPr>
            </w:pPr>
            <w:r w:rsidRPr="00066932">
              <w:rPr>
                <w:rFonts w:ascii="Calibri" w:eastAsia="Times New Roman" w:hAnsi="Calibri" w:cs="Times New Roman"/>
                <w:b/>
                <w:bCs/>
                <w:i/>
                <w:iCs/>
                <w:color w:val="000000"/>
                <w:lang w:eastAsia="en-AU"/>
              </w:rPr>
              <w:t>Activity Sample</w:t>
            </w:r>
          </w:p>
        </w:tc>
        <w:tc>
          <w:tcPr>
            <w:tcW w:w="1720"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rPr>
                <w:rFonts w:ascii="Calibri" w:eastAsia="Times New Roman" w:hAnsi="Calibri" w:cs="Times New Roman"/>
                <w:b/>
                <w:bCs/>
                <w:i/>
                <w:iCs/>
                <w:color w:val="000000"/>
                <w:lang w:eastAsia="en-AU"/>
              </w:rPr>
            </w:pPr>
            <w:proofErr w:type="spellStart"/>
            <w:r w:rsidRPr="00066932">
              <w:rPr>
                <w:rFonts w:ascii="Calibri" w:eastAsia="Times New Roman" w:hAnsi="Calibri" w:cs="Times New Roman"/>
                <w:b/>
                <w:bCs/>
                <w:i/>
                <w:iCs/>
                <w:color w:val="000000"/>
                <w:lang w:eastAsia="en-AU"/>
              </w:rPr>
              <w:t>Learnline</w:t>
            </w:r>
            <w:proofErr w:type="spellEnd"/>
            <w:r w:rsidRPr="00066932">
              <w:rPr>
                <w:rFonts w:ascii="Calibri" w:eastAsia="Times New Roman" w:hAnsi="Calibri" w:cs="Times New Roman"/>
                <w:b/>
                <w:bCs/>
                <w:i/>
                <w:iCs/>
                <w:color w:val="000000"/>
                <w:lang w:eastAsia="en-AU"/>
              </w:rPr>
              <w:t xml:space="preserve"> </w:t>
            </w:r>
          </w:p>
        </w:tc>
        <w:tc>
          <w:tcPr>
            <w:tcW w:w="1281"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rPr>
                <w:rFonts w:ascii="Calibri" w:eastAsia="Times New Roman" w:hAnsi="Calibri" w:cs="Times New Roman"/>
                <w:b/>
                <w:bCs/>
                <w:i/>
                <w:iCs/>
                <w:color w:val="000000"/>
                <w:lang w:eastAsia="en-AU"/>
              </w:rPr>
            </w:pPr>
            <w:r w:rsidRPr="00066932">
              <w:rPr>
                <w:rFonts w:ascii="Calibri" w:eastAsia="Times New Roman" w:hAnsi="Calibri" w:cs="Times New Roman"/>
                <w:b/>
                <w:bCs/>
                <w:i/>
                <w:iCs/>
                <w:color w:val="000000"/>
                <w:lang w:eastAsia="en-AU"/>
              </w:rPr>
              <w:t>Collaborate</w:t>
            </w:r>
          </w:p>
        </w:tc>
      </w:tr>
      <w:tr w:rsidR="0032429A" w:rsidRPr="00066932" w:rsidTr="0032429A">
        <w:trPr>
          <w:trHeight w:val="300"/>
        </w:trPr>
        <w:tc>
          <w:tcPr>
            <w:tcW w:w="1740"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 xml:space="preserve">Number of </w:t>
            </w:r>
            <w:proofErr w:type="spellStart"/>
            <w:r w:rsidRPr="00066932">
              <w:rPr>
                <w:rFonts w:ascii="Calibri" w:eastAsia="Times New Roman" w:hAnsi="Calibri" w:cs="Times New Roman"/>
                <w:color w:val="000000"/>
                <w:lang w:eastAsia="en-AU"/>
              </w:rPr>
              <w:t>obs</w:t>
            </w:r>
            <w:proofErr w:type="spellEnd"/>
          </w:p>
        </w:tc>
        <w:tc>
          <w:tcPr>
            <w:tcW w:w="1720"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9015</w:t>
            </w:r>
          </w:p>
        </w:tc>
        <w:tc>
          <w:tcPr>
            <w:tcW w:w="1281"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3905</w:t>
            </w:r>
          </w:p>
        </w:tc>
      </w:tr>
      <w:tr w:rsidR="0032429A" w:rsidRPr="00066932" w:rsidTr="0032429A">
        <w:trPr>
          <w:trHeight w:val="300"/>
        </w:trPr>
        <w:tc>
          <w:tcPr>
            <w:tcW w:w="1740"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F(1, 9013)</w:t>
            </w:r>
          </w:p>
        </w:tc>
        <w:tc>
          <w:tcPr>
            <w:tcW w:w="1720"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700.53</w:t>
            </w:r>
          </w:p>
        </w:tc>
        <w:tc>
          <w:tcPr>
            <w:tcW w:w="1281"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85.93</w:t>
            </w:r>
          </w:p>
        </w:tc>
      </w:tr>
      <w:tr w:rsidR="0032429A" w:rsidRPr="00066932" w:rsidTr="0032429A">
        <w:trPr>
          <w:trHeight w:val="300"/>
        </w:trPr>
        <w:tc>
          <w:tcPr>
            <w:tcW w:w="1740"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rPr>
                <w:rFonts w:ascii="Calibri" w:eastAsia="Times New Roman" w:hAnsi="Calibri" w:cs="Times New Roman"/>
                <w:color w:val="000000"/>
                <w:lang w:eastAsia="en-AU"/>
              </w:rPr>
            </w:pPr>
            <w:proofErr w:type="spellStart"/>
            <w:r w:rsidRPr="00066932">
              <w:rPr>
                <w:rFonts w:ascii="Calibri" w:eastAsia="Times New Roman" w:hAnsi="Calibri" w:cs="Times New Roman"/>
                <w:color w:val="000000"/>
                <w:lang w:eastAsia="en-AU"/>
              </w:rPr>
              <w:t>Prob</w:t>
            </w:r>
            <w:proofErr w:type="spellEnd"/>
            <w:r w:rsidRPr="00066932">
              <w:rPr>
                <w:rFonts w:ascii="Calibri" w:eastAsia="Times New Roman" w:hAnsi="Calibri" w:cs="Times New Roman"/>
                <w:color w:val="000000"/>
                <w:lang w:eastAsia="en-AU"/>
              </w:rPr>
              <w:t xml:space="preserve"> &gt; F</w:t>
            </w:r>
          </w:p>
        </w:tc>
        <w:tc>
          <w:tcPr>
            <w:tcW w:w="1720"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0</w:t>
            </w:r>
          </w:p>
        </w:tc>
        <w:tc>
          <w:tcPr>
            <w:tcW w:w="1281"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0</w:t>
            </w:r>
          </w:p>
        </w:tc>
      </w:tr>
      <w:tr w:rsidR="0032429A" w:rsidRPr="00066932" w:rsidTr="0032429A">
        <w:trPr>
          <w:trHeight w:val="300"/>
        </w:trPr>
        <w:tc>
          <w:tcPr>
            <w:tcW w:w="1740"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R-squared</w:t>
            </w:r>
          </w:p>
        </w:tc>
        <w:tc>
          <w:tcPr>
            <w:tcW w:w="1720"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0.0721</w:t>
            </w:r>
          </w:p>
        </w:tc>
        <w:tc>
          <w:tcPr>
            <w:tcW w:w="1281" w:type="dxa"/>
            <w:tcBorders>
              <w:top w:val="nil"/>
              <w:left w:val="nil"/>
              <w:bottom w:val="nil"/>
              <w:right w:val="nil"/>
            </w:tcBorders>
            <w:shd w:val="clear" w:color="D9D9D9" w:fill="D9D9D9"/>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0.0232</w:t>
            </w:r>
          </w:p>
        </w:tc>
      </w:tr>
      <w:tr w:rsidR="0032429A" w:rsidRPr="00066932" w:rsidTr="0032429A">
        <w:trPr>
          <w:trHeight w:val="300"/>
        </w:trPr>
        <w:tc>
          <w:tcPr>
            <w:tcW w:w="1740"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rPr>
                <w:rFonts w:ascii="Calibri" w:eastAsia="Times New Roman" w:hAnsi="Calibri" w:cs="Times New Roman"/>
                <w:color w:val="000000"/>
                <w:lang w:eastAsia="en-AU"/>
              </w:rPr>
            </w:pPr>
            <w:proofErr w:type="spellStart"/>
            <w:r w:rsidRPr="00066932">
              <w:rPr>
                <w:rFonts w:ascii="Calibri" w:eastAsia="Times New Roman" w:hAnsi="Calibri" w:cs="Times New Roman"/>
                <w:color w:val="000000"/>
                <w:lang w:eastAsia="en-AU"/>
              </w:rPr>
              <w:t>Adj</w:t>
            </w:r>
            <w:proofErr w:type="spellEnd"/>
            <w:r w:rsidRPr="00066932">
              <w:rPr>
                <w:rFonts w:ascii="Calibri" w:eastAsia="Times New Roman" w:hAnsi="Calibri" w:cs="Times New Roman"/>
                <w:color w:val="000000"/>
                <w:lang w:eastAsia="en-AU"/>
              </w:rPr>
              <w:t xml:space="preserve"> R-squared</w:t>
            </w:r>
          </w:p>
        </w:tc>
        <w:tc>
          <w:tcPr>
            <w:tcW w:w="1720"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0.072</w:t>
            </w:r>
          </w:p>
        </w:tc>
        <w:tc>
          <w:tcPr>
            <w:tcW w:w="1281" w:type="dxa"/>
            <w:tcBorders>
              <w:top w:val="nil"/>
              <w:left w:val="nil"/>
              <w:bottom w:val="nil"/>
              <w:right w:val="nil"/>
            </w:tcBorders>
            <w:shd w:val="clear" w:color="auto" w:fill="auto"/>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p>
        </w:tc>
      </w:tr>
      <w:tr w:rsidR="0032429A" w:rsidRPr="00066932" w:rsidTr="0032429A">
        <w:trPr>
          <w:trHeight w:val="300"/>
        </w:trPr>
        <w:tc>
          <w:tcPr>
            <w:tcW w:w="1740" w:type="dxa"/>
            <w:tcBorders>
              <w:top w:val="nil"/>
              <w:left w:val="nil"/>
              <w:bottom w:val="single" w:sz="4" w:space="0" w:color="000000"/>
              <w:right w:val="nil"/>
            </w:tcBorders>
            <w:shd w:val="clear" w:color="D9D9D9" w:fill="D9D9D9"/>
            <w:noWrap/>
            <w:vAlign w:val="bottom"/>
            <w:hideMark/>
          </w:tcPr>
          <w:p w:rsidR="0032429A" w:rsidRPr="00066932" w:rsidRDefault="0032429A" w:rsidP="0032429A">
            <w:pPr>
              <w:spacing w:after="0" w:line="240" w:lineRule="auto"/>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Root MSE</w:t>
            </w:r>
          </w:p>
        </w:tc>
        <w:tc>
          <w:tcPr>
            <w:tcW w:w="1720" w:type="dxa"/>
            <w:tcBorders>
              <w:top w:val="nil"/>
              <w:left w:val="nil"/>
              <w:bottom w:val="single" w:sz="4" w:space="0" w:color="000000"/>
              <w:right w:val="nil"/>
            </w:tcBorders>
            <w:shd w:val="clear" w:color="D9D9D9" w:fill="D9D9D9"/>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1.0154</w:t>
            </w:r>
          </w:p>
        </w:tc>
        <w:tc>
          <w:tcPr>
            <w:tcW w:w="1281" w:type="dxa"/>
            <w:tcBorders>
              <w:top w:val="nil"/>
              <w:left w:val="nil"/>
              <w:bottom w:val="single" w:sz="4" w:space="0" w:color="000000"/>
              <w:right w:val="nil"/>
            </w:tcBorders>
            <w:shd w:val="clear" w:color="D9D9D9" w:fill="D9D9D9"/>
            <w:noWrap/>
            <w:vAlign w:val="bottom"/>
            <w:hideMark/>
          </w:tcPr>
          <w:p w:rsidR="0032429A" w:rsidRPr="00066932" w:rsidRDefault="0032429A" w:rsidP="0032429A">
            <w:pPr>
              <w:spacing w:after="0" w:line="240" w:lineRule="auto"/>
              <w:jc w:val="right"/>
              <w:rPr>
                <w:rFonts w:ascii="Calibri" w:eastAsia="Times New Roman" w:hAnsi="Calibri" w:cs="Times New Roman"/>
                <w:color w:val="000000"/>
                <w:lang w:eastAsia="en-AU"/>
              </w:rPr>
            </w:pPr>
            <w:r w:rsidRPr="00066932">
              <w:rPr>
                <w:rFonts w:ascii="Calibri" w:eastAsia="Times New Roman" w:hAnsi="Calibri" w:cs="Times New Roman"/>
                <w:color w:val="000000"/>
                <w:lang w:eastAsia="en-AU"/>
              </w:rPr>
              <w:t>1.0128</w:t>
            </w:r>
          </w:p>
        </w:tc>
      </w:tr>
    </w:tbl>
    <w:p w:rsidR="0032429A" w:rsidRDefault="0032429A" w:rsidP="0032429A">
      <w:pPr>
        <w:rPr>
          <w:b/>
        </w:rPr>
      </w:pPr>
    </w:p>
    <w:p w:rsidR="0032429A" w:rsidRDefault="0032429A" w:rsidP="0032429A">
      <w:r>
        <w:t xml:space="preserve">Table A.2 Detailed </w:t>
      </w:r>
      <w:proofErr w:type="spellStart"/>
      <w:r>
        <w:t>Resultes</w:t>
      </w:r>
      <w:proofErr w:type="spellEnd"/>
      <w:r>
        <w:t xml:space="preserve">  of Bivariate Regression for </w:t>
      </w:r>
      <w:proofErr w:type="spellStart"/>
      <w:r>
        <w:t>Continous</w:t>
      </w:r>
      <w:proofErr w:type="spellEnd"/>
      <w:r>
        <w:t xml:space="preserve"> Activity/Participation Treatment </w:t>
      </w:r>
    </w:p>
    <w:p w:rsidR="0032429A" w:rsidRDefault="0032429A" w:rsidP="0032429A">
      <w:pPr>
        <w:ind w:firstLine="2835"/>
      </w:pPr>
      <w:r>
        <w:t>(see Table 2 and  Figs. 2(a) &amp; 2(b) of Text)</w:t>
      </w:r>
    </w:p>
    <w:tbl>
      <w:tblPr>
        <w:tblW w:w="5018" w:type="dxa"/>
        <w:tblInd w:w="2462" w:type="dxa"/>
        <w:tblLook w:val="04A0" w:firstRow="1" w:lastRow="0" w:firstColumn="1" w:lastColumn="0" w:noHBand="0" w:noVBand="1"/>
      </w:tblPr>
      <w:tblGrid>
        <w:gridCol w:w="2120"/>
        <w:gridCol w:w="1620"/>
        <w:gridCol w:w="1278"/>
      </w:tblGrid>
      <w:tr w:rsidR="0032429A" w:rsidRPr="008F1553" w:rsidTr="0032429A">
        <w:trPr>
          <w:trHeight w:val="300"/>
        </w:trPr>
        <w:tc>
          <w:tcPr>
            <w:tcW w:w="2120"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rPr>
                <w:rFonts w:ascii="Times New Roman" w:eastAsia="Times New Roman" w:hAnsi="Times New Roman" w:cs="Times New Roman"/>
                <w:sz w:val="24"/>
                <w:szCs w:val="24"/>
                <w:lang w:eastAsia="en-AU"/>
              </w:rPr>
            </w:pPr>
          </w:p>
        </w:tc>
        <w:tc>
          <w:tcPr>
            <w:tcW w:w="1620"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rPr>
                <w:rFonts w:ascii="Calibri" w:eastAsia="Times New Roman" w:hAnsi="Calibri" w:cs="Times New Roman"/>
                <w:b/>
                <w:bCs/>
                <w:color w:val="000000"/>
                <w:lang w:eastAsia="en-AU"/>
              </w:rPr>
            </w:pPr>
            <w:proofErr w:type="spellStart"/>
            <w:r w:rsidRPr="008F1553">
              <w:rPr>
                <w:rFonts w:ascii="Calibri" w:eastAsia="Times New Roman" w:hAnsi="Calibri" w:cs="Times New Roman"/>
                <w:b/>
                <w:bCs/>
                <w:color w:val="000000"/>
                <w:lang w:eastAsia="en-AU"/>
              </w:rPr>
              <w:t>Learnline</w:t>
            </w:r>
            <w:proofErr w:type="spellEnd"/>
            <w:r w:rsidRPr="008F1553">
              <w:rPr>
                <w:rFonts w:ascii="Calibri" w:eastAsia="Times New Roman" w:hAnsi="Calibri" w:cs="Times New Roman"/>
                <w:b/>
                <w:bCs/>
                <w:color w:val="000000"/>
                <w:lang w:eastAsia="en-AU"/>
              </w:rPr>
              <w:t xml:space="preserve"> </w:t>
            </w:r>
          </w:p>
        </w:tc>
        <w:tc>
          <w:tcPr>
            <w:tcW w:w="1278"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rPr>
                <w:rFonts w:ascii="Calibri" w:eastAsia="Times New Roman" w:hAnsi="Calibri" w:cs="Times New Roman"/>
                <w:b/>
                <w:bCs/>
                <w:color w:val="000000"/>
                <w:lang w:eastAsia="en-AU"/>
              </w:rPr>
            </w:pPr>
            <w:r w:rsidRPr="008F1553">
              <w:rPr>
                <w:rFonts w:ascii="Calibri" w:eastAsia="Times New Roman" w:hAnsi="Calibri" w:cs="Times New Roman"/>
                <w:b/>
                <w:bCs/>
                <w:color w:val="000000"/>
                <w:lang w:eastAsia="en-AU"/>
              </w:rPr>
              <w:t>Collaborate</w:t>
            </w:r>
          </w:p>
        </w:tc>
      </w:tr>
      <w:tr w:rsidR="0032429A" w:rsidRPr="008F1553" w:rsidTr="0032429A">
        <w:trPr>
          <w:trHeight w:val="300"/>
        </w:trPr>
        <w:tc>
          <w:tcPr>
            <w:tcW w:w="2120"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 xml:space="preserve">Number of </w:t>
            </w:r>
            <w:proofErr w:type="spellStart"/>
            <w:r w:rsidRPr="008F1553">
              <w:rPr>
                <w:rFonts w:ascii="Calibri" w:eastAsia="Times New Roman" w:hAnsi="Calibri" w:cs="Times New Roman"/>
                <w:color w:val="000000"/>
                <w:lang w:eastAsia="en-AU"/>
              </w:rPr>
              <w:t>obs</w:t>
            </w:r>
            <w:proofErr w:type="spellEnd"/>
          </w:p>
        </w:tc>
        <w:tc>
          <w:tcPr>
            <w:tcW w:w="1620"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8,991</w:t>
            </w:r>
          </w:p>
        </w:tc>
        <w:tc>
          <w:tcPr>
            <w:tcW w:w="1278"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3,905</w:t>
            </w:r>
          </w:p>
        </w:tc>
      </w:tr>
      <w:tr w:rsidR="0032429A" w:rsidRPr="008F1553" w:rsidTr="0032429A">
        <w:trPr>
          <w:trHeight w:val="300"/>
        </w:trPr>
        <w:tc>
          <w:tcPr>
            <w:tcW w:w="2120"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F(1, 8989)</w:t>
            </w:r>
          </w:p>
        </w:tc>
        <w:tc>
          <w:tcPr>
            <w:tcW w:w="1620"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1031.37</w:t>
            </w:r>
          </w:p>
        </w:tc>
        <w:tc>
          <w:tcPr>
            <w:tcW w:w="1278"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160.15</w:t>
            </w:r>
          </w:p>
        </w:tc>
      </w:tr>
      <w:tr w:rsidR="0032429A" w:rsidRPr="008F1553" w:rsidTr="0032429A">
        <w:trPr>
          <w:trHeight w:val="300"/>
        </w:trPr>
        <w:tc>
          <w:tcPr>
            <w:tcW w:w="2120"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rPr>
                <w:rFonts w:ascii="Calibri" w:eastAsia="Times New Roman" w:hAnsi="Calibri" w:cs="Times New Roman"/>
                <w:color w:val="000000"/>
                <w:lang w:eastAsia="en-AU"/>
              </w:rPr>
            </w:pPr>
            <w:proofErr w:type="spellStart"/>
            <w:r w:rsidRPr="008F1553">
              <w:rPr>
                <w:rFonts w:ascii="Calibri" w:eastAsia="Times New Roman" w:hAnsi="Calibri" w:cs="Times New Roman"/>
                <w:color w:val="000000"/>
                <w:lang w:eastAsia="en-AU"/>
              </w:rPr>
              <w:t>Prob</w:t>
            </w:r>
            <w:proofErr w:type="spellEnd"/>
            <w:r w:rsidRPr="008F1553">
              <w:rPr>
                <w:rFonts w:ascii="Calibri" w:eastAsia="Times New Roman" w:hAnsi="Calibri" w:cs="Times New Roman"/>
                <w:color w:val="000000"/>
                <w:lang w:eastAsia="en-AU"/>
              </w:rPr>
              <w:t xml:space="preserve"> &gt; F</w:t>
            </w:r>
            <w:r>
              <w:rPr>
                <w:rFonts w:ascii="Calibri" w:eastAsia="Times New Roman" w:hAnsi="Calibri" w:cs="Times New Roman"/>
                <w:color w:val="000000"/>
                <w:lang w:eastAsia="en-AU"/>
              </w:rPr>
              <w:t xml:space="preserve">   </w:t>
            </w:r>
          </w:p>
        </w:tc>
        <w:tc>
          <w:tcPr>
            <w:tcW w:w="1620"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0</w:t>
            </w:r>
          </w:p>
        </w:tc>
        <w:tc>
          <w:tcPr>
            <w:tcW w:w="1278"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0</w:t>
            </w:r>
          </w:p>
        </w:tc>
      </w:tr>
      <w:tr w:rsidR="0032429A" w:rsidRPr="008F1553" w:rsidTr="0032429A">
        <w:trPr>
          <w:trHeight w:val="300"/>
        </w:trPr>
        <w:tc>
          <w:tcPr>
            <w:tcW w:w="2120"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R-squared</w:t>
            </w:r>
          </w:p>
        </w:tc>
        <w:tc>
          <w:tcPr>
            <w:tcW w:w="1620"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0.105</w:t>
            </w:r>
          </w:p>
        </w:tc>
        <w:tc>
          <w:tcPr>
            <w:tcW w:w="1278" w:type="dxa"/>
            <w:tcBorders>
              <w:top w:val="nil"/>
              <w:left w:val="nil"/>
              <w:bottom w:val="nil"/>
              <w:right w:val="nil"/>
            </w:tcBorders>
            <w:shd w:val="clear" w:color="D9D9D9" w:fill="D9D9D9"/>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0.0418</w:t>
            </w:r>
          </w:p>
        </w:tc>
      </w:tr>
      <w:tr w:rsidR="0032429A" w:rsidRPr="008F1553" w:rsidTr="0032429A">
        <w:trPr>
          <w:trHeight w:val="300"/>
        </w:trPr>
        <w:tc>
          <w:tcPr>
            <w:tcW w:w="2120"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Root MSE</w:t>
            </w:r>
          </w:p>
        </w:tc>
        <w:tc>
          <w:tcPr>
            <w:tcW w:w="1620"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0.99706</w:t>
            </w:r>
          </w:p>
        </w:tc>
        <w:tc>
          <w:tcPr>
            <w:tcW w:w="1278" w:type="dxa"/>
            <w:tcBorders>
              <w:top w:val="nil"/>
              <w:left w:val="nil"/>
              <w:bottom w:val="nil"/>
              <w:right w:val="nil"/>
            </w:tcBorders>
            <w:shd w:val="clear" w:color="auto" w:fill="auto"/>
            <w:noWrap/>
            <w:vAlign w:val="bottom"/>
            <w:hideMark/>
          </w:tcPr>
          <w:p w:rsidR="0032429A" w:rsidRPr="008F1553" w:rsidRDefault="0032429A" w:rsidP="0032429A">
            <w:pPr>
              <w:spacing w:after="0" w:line="240" w:lineRule="auto"/>
              <w:jc w:val="right"/>
              <w:rPr>
                <w:rFonts w:ascii="Calibri" w:eastAsia="Times New Roman" w:hAnsi="Calibri" w:cs="Times New Roman"/>
                <w:color w:val="000000"/>
                <w:lang w:eastAsia="en-AU"/>
              </w:rPr>
            </w:pPr>
            <w:r w:rsidRPr="008F1553">
              <w:rPr>
                <w:rFonts w:ascii="Calibri" w:eastAsia="Times New Roman" w:hAnsi="Calibri" w:cs="Times New Roman"/>
                <w:color w:val="000000"/>
                <w:lang w:eastAsia="en-AU"/>
              </w:rPr>
              <w:t>1.0031</w:t>
            </w:r>
          </w:p>
        </w:tc>
      </w:tr>
    </w:tbl>
    <w:p w:rsidR="0032429A" w:rsidRDefault="0032429A" w:rsidP="0032429A">
      <w:pPr>
        <w:rPr>
          <w:b/>
        </w:rPr>
      </w:pPr>
    </w:p>
    <w:p w:rsidR="0032429A" w:rsidRDefault="0032429A">
      <w:pPr>
        <w:rPr>
          <w:b/>
        </w:rPr>
      </w:pPr>
      <w:r>
        <w:rPr>
          <w:b/>
        </w:rPr>
        <w:br w:type="page"/>
      </w:r>
    </w:p>
    <w:p w:rsidR="0032429A" w:rsidRDefault="0032429A" w:rsidP="0032429A">
      <w:pPr>
        <w:rPr>
          <w:b/>
        </w:rPr>
      </w:pPr>
    </w:p>
    <w:p w:rsidR="0032429A" w:rsidRDefault="0032429A" w:rsidP="0032429A">
      <w:pPr>
        <w:spacing w:after="0"/>
      </w:pPr>
      <w:r>
        <w:t xml:space="preserve">Table A.3 Results of Regression for Continuous Activity/Participation </w:t>
      </w:r>
      <w:proofErr w:type="spellStart"/>
      <w:r>
        <w:t>Marginsplot</w:t>
      </w:r>
      <w:proofErr w:type="spellEnd"/>
      <w:r>
        <w:t xml:space="preserve"> </w:t>
      </w:r>
      <w:r>
        <w:br/>
        <w:t>(see Table 2 and  Figs. 2(a) &amp; 2(b) of Text)</w:t>
      </w:r>
    </w:p>
    <w:tbl>
      <w:tblPr>
        <w:tblpPr w:leftFromText="180" w:rightFromText="180" w:vertAnchor="text" w:horzAnchor="page" w:tblpX="1921" w:tblpY="266"/>
        <w:tblW w:w="9297" w:type="dxa"/>
        <w:tblLook w:val="04A0" w:firstRow="1" w:lastRow="0" w:firstColumn="1" w:lastColumn="0" w:noHBand="0" w:noVBand="1"/>
      </w:tblPr>
      <w:tblGrid>
        <w:gridCol w:w="2500"/>
        <w:gridCol w:w="1160"/>
        <w:gridCol w:w="1160"/>
        <w:gridCol w:w="1160"/>
        <w:gridCol w:w="966"/>
        <w:gridCol w:w="1354"/>
        <w:gridCol w:w="997"/>
      </w:tblGrid>
      <w:tr w:rsidR="0032429A" w:rsidRPr="00734D72" w:rsidTr="0032429A">
        <w:trPr>
          <w:trHeight w:val="300"/>
        </w:trPr>
        <w:tc>
          <w:tcPr>
            <w:tcW w:w="250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rPr>
                <w:rFonts w:ascii="Calibri" w:eastAsia="Times New Roman" w:hAnsi="Calibri" w:cs="Times New Roman"/>
                <w:b/>
                <w:bCs/>
                <w:color w:val="000000"/>
                <w:lang w:eastAsia="en-AU"/>
              </w:rPr>
            </w:pPr>
            <w:proofErr w:type="spellStart"/>
            <w:r w:rsidRPr="00734D72">
              <w:rPr>
                <w:rFonts w:ascii="Calibri" w:eastAsia="Times New Roman" w:hAnsi="Calibri" w:cs="Times New Roman"/>
                <w:b/>
                <w:bCs/>
                <w:color w:val="000000"/>
                <w:lang w:eastAsia="en-AU"/>
              </w:rPr>
              <w:t>Grade_Scale</w:t>
            </w:r>
            <w:proofErr w:type="spellEnd"/>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b/>
                <w:bCs/>
                <w:color w:val="000000"/>
                <w:lang w:eastAsia="en-AU"/>
              </w:rPr>
            </w:pPr>
            <w:proofErr w:type="spellStart"/>
            <w:r w:rsidRPr="00734D72">
              <w:rPr>
                <w:rFonts w:ascii="Calibri" w:eastAsia="Times New Roman" w:hAnsi="Calibri" w:cs="Times New Roman"/>
                <w:b/>
                <w:bCs/>
                <w:color w:val="000000"/>
                <w:lang w:eastAsia="en-AU"/>
              </w:rPr>
              <w:t>Coef</w:t>
            </w:r>
            <w:proofErr w:type="spellEnd"/>
            <w:r w:rsidRPr="00734D72">
              <w:rPr>
                <w:rFonts w:ascii="Calibri" w:eastAsia="Times New Roman" w:hAnsi="Calibri" w:cs="Times New Roman"/>
                <w:b/>
                <w:bCs/>
                <w:color w:val="000000"/>
                <w:lang w:eastAsia="en-AU"/>
              </w:rPr>
              <w:t>.</w:t>
            </w:r>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b/>
                <w:bCs/>
                <w:color w:val="000000"/>
                <w:lang w:eastAsia="en-AU"/>
              </w:rPr>
            </w:pPr>
            <w:r w:rsidRPr="00734D72">
              <w:rPr>
                <w:rFonts w:ascii="Calibri" w:eastAsia="Times New Roman" w:hAnsi="Calibri" w:cs="Times New Roman"/>
                <w:b/>
                <w:bCs/>
                <w:color w:val="000000"/>
                <w:lang w:eastAsia="en-AU"/>
              </w:rPr>
              <w:t>Std. Err.</w:t>
            </w:r>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b/>
                <w:bCs/>
                <w:color w:val="000000"/>
                <w:lang w:eastAsia="en-AU"/>
              </w:rPr>
            </w:pPr>
            <w:r w:rsidRPr="00734D72">
              <w:rPr>
                <w:rFonts w:ascii="Calibri" w:eastAsia="Times New Roman" w:hAnsi="Calibri" w:cs="Times New Roman"/>
                <w:b/>
                <w:bCs/>
                <w:color w:val="000000"/>
                <w:lang w:eastAsia="en-AU"/>
              </w:rPr>
              <w:t>t</w:t>
            </w:r>
          </w:p>
        </w:tc>
        <w:tc>
          <w:tcPr>
            <w:tcW w:w="966"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b/>
                <w:bCs/>
                <w:color w:val="000000"/>
                <w:lang w:eastAsia="en-AU"/>
              </w:rPr>
            </w:pPr>
            <w:r w:rsidRPr="00734D72">
              <w:rPr>
                <w:rFonts w:ascii="Calibri" w:eastAsia="Times New Roman" w:hAnsi="Calibri" w:cs="Times New Roman"/>
                <w:b/>
                <w:bCs/>
                <w:color w:val="000000"/>
                <w:lang w:eastAsia="en-AU"/>
              </w:rPr>
              <w:t>P&gt;t</w:t>
            </w:r>
          </w:p>
        </w:tc>
        <w:tc>
          <w:tcPr>
            <w:tcW w:w="1354"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b/>
                <w:bCs/>
                <w:color w:val="000000"/>
                <w:lang w:eastAsia="en-AU"/>
              </w:rPr>
            </w:pPr>
            <w:r w:rsidRPr="00734D72">
              <w:rPr>
                <w:rFonts w:ascii="Calibri" w:eastAsia="Times New Roman" w:hAnsi="Calibri" w:cs="Times New Roman"/>
                <w:b/>
                <w:bCs/>
                <w:color w:val="000000"/>
                <w:lang w:eastAsia="en-AU"/>
              </w:rPr>
              <w:t>[95% Conf.</w:t>
            </w:r>
          </w:p>
        </w:tc>
        <w:tc>
          <w:tcPr>
            <w:tcW w:w="997"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b/>
                <w:bCs/>
                <w:color w:val="000000"/>
                <w:lang w:eastAsia="en-AU"/>
              </w:rPr>
            </w:pPr>
            <w:r w:rsidRPr="00734D72">
              <w:rPr>
                <w:rFonts w:ascii="Calibri" w:eastAsia="Times New Roman" w:hAnsi="Calibri" w:cs="Times New Roman"/>
                <w:b/>
                <w:bCs/>
                <w:color w:val="000000"/>
                <w:lang w:eastAsia="en-AU"/>
              </w:rPr>
              <w:t>Interval]</w:t>
            </w:r>
          </w:p>
        </w:tc>
      </w:tr>
      <w:tr w:rsidR="0032429A" w:rsidRPr="00734D72" w:rsidTr="0032429A">
        <w:trPr>
          <w:trHeight w:val="300"/>
        </w:trPr>
        <w:tc>
          <w:tcPr>
            <w:tcW w:w="2500"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rPr>
                <w:rFonts w:ascii="Calibri" w:eastAsia="Times New Roman" w:hAnsi="Calibri" w:cs="Times New Roman"/>
                <w:color w:val="000000"/>
                <w:lang w:eastAsia="en-AU"/>
              </w:rPr>
            </w:pPr>
            <w:proofErr w:type="spellStart"/>
            <w:r w:rsidRPr="00734D72">
              <w:rPr>
                <w:rFonts w:ascii="Calibri" w:eastAsia="Times New Roman" w:hAnsi="Calibri" w:cs="Times New Roman"/>
                <w:color w:val="000000"/>
                <w:lang w:eastAsia="en-AU"/>
              </w:rPr>
              <w:t>Learnline</w:t>
            </w:r>
            <w:proofErr w:type="spellEnd"/>
            <w:r w:rsidRPr="00734D72">
              <w:rPr>
                <w:rFonts w:ascii="Calibri" w:eastAsia="Times New Roman" w:hAnsi="Calibri" w:cs="Times New Roman"/>
                <w:color w:val="000000"/>
                <w:lang w:eastAsia="en-AU"/>
              </w:rPr>
              <w:t xml:space="preserve"> Activity</w:t>
            </w:r>
          </w:p>
        </w:tc>
        <w:tc>
          <w:tcPr>
            <w:tcW w:w="1160"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0.579</w:t>
            </w:r>
          </w:p>
        </w:tc>
        <w:tc>
          <w:tcPr>
            <w:tcW w:w="1160"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0.018</w:t>
            </w:r>
          </w:p>
        </w:tc>
        <w:tc>
          <w:tcPr>
            <w:tcW w:w="1160"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32.110</w:t>
            </w:r>
          </w:p>
        </w:tc>
        <w:tc>
          <w:tcPr>
            <w:tcW w:w="966"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0.000</w:t>
            </w:r>
          </w:p>
        </w:tc>
        <w:tc>
          <w:tcPr>
            <w:tcW w:w="1354"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0.544</w:t>
            </w:r>
          </w:p>
        </w:tc>
        <w:tc>
          <w:tcPr>
            <w:tcW w:w="997"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0.615</w:t>
            </w:r>
          </w:p>
        </w:tc>
      </w:tr>
      <w:tr w:rsidR="0032429A" w:rsidRPr="00734D72" w:rsidTr="0032429A">
        <w:trPr>
          <w:trHeight w:val="300"/>
        </w:trPr>
        <w:tc>
          <w:tcPr>
            <w:tcW w:w="250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_cons</w:t>
            </w:r>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4.944</w:t>
            </w:r>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0.011</w:t>
            </w:r>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434.180</w:t>
            </w:r>
          </w:p>
        </w:tc>
        <w:tc>
          <w:tcPr>
            <w:tcW w:w="966"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0.000</w:t>
            </w:r>
          </w:p>
        </w:tc>
        <w:tc>
          <w:tcPr>
            <w:tcW w:w="1354"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4.921</w:t>
            </w:r>
          </w:p>
        </w:tc>
        <w:tc>
          <w:tcPr>
            <w:tcW w:w="997"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4.966</w:t>
            </w:r>
          </w:p>
        </w:tc>
      </w:tr>
      <w:tr w:rsidR="0032429A" w:rsidRPr="00734D72" w:rsidTr="0032429A">
        <w:trPr>
          <w:trHeight w:val="300"/>
        </w:trPr>
        <w:tc>
          <w:tcPr>
            <w:tcW w:w="2500"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Collaborate Participation</w:t>
            </w:r>
          </w:p>
        </w:tc>
        <w:tc>
          <w:tcPr>
            <w:tcW w:w="1160"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0.225</w:t>
            </w:r>
          </w:p>
        </w:tc>
        <w:tc>
          <w:tcPr>
            <w:tcW w:w="1160"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0.018</w:t>
            </w:r>
          </w:p>
        </w:tc>
        <w:tc>
          <w:tcPr>
            <w:tcW w:w="1160"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12.660</w:t>
            </w:r>
          </w:p>
        </w:tc>
        <w:tc>
          <w:tcPr>
            <w:tcW w:w="966"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0.000</w:t>
            </w:r>
          </w:p>
        </w:tc>
        <w:tc>
          <w:tcPr>
            <w:tcW w:w="1354"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0.190</w:t>
            </w:r>
          </w:p>
        </w:tc>
        <w:tc>
          <w:tcPr>
            <w:tcW w:w="997" w:type="dxa"/>
            <w:tcBorders>
              <w:top w:val="nil"/>
              <w:left w:val="nil"/>
              <w:bottom w:val="nil"/>
              <w:right w:val="nil"/>
            </w:tcBorders>
            <w:shd w:val="clear" w:color="auto" w:fill="auto"/>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0.260</w:t>
            </w:r>
          </w:p>
        </w:tc>
      </w:tr>
      <w:tr w:rsidR="0032429A" w:rsidRPr="00734D72" w:rsidTr="0032429A">
        <w:trPr>
          <w:trHeight w:val="300"/>
        </w:trPr>
        <w:tc>
          <w:tcPr>
            <w:tcW w:w="250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_cons</w:t>
            </w:r>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4.739</w:t>
            </w:r>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0.048</w:t>
            </w:r>
          </w:p>
        </w:tc>
        <w:tc>
          <w:tcPr>
            <w:tcW w:w="1160"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98.240</w:t>
            </w:r>
          </w:p>
        </w:tc>
        <w:tc>
          <w:tcPr>
            <w:tcW w:w="966"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0.000</w:t>
            </w:r>
          </w:p>
        </w:tc>
        <w:tc>
          <w:tcPr>
            <w:tcW w:w="1354"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4.645</w:t>
            </w:r>
          </w:p>
        </w:tc>
        <w:tc>
          <w:tcPr>
            <w:tcW w:w="997" w:type="dxa"/>
            <w:tcBorders>
              <w:top w:val="nil"/>
              <w:left w:val="nil"/>
              <w:bottom w:val="nil"/>
              <w:right w:val="nil"/>
            </w:tcBorders>
            <w:shd w:val="clear" w:color="D9D9D9" w:fill="D9D9D9"/>
            <w:noWrap/>
            <w:vAlign w:val="bottom"/>
            <w:hideMark/>
          </w:tcPr>
          <w:p w:rsidR="0032429A" w:rsidRPr="00734D72" w:rsidRDefault="0032429A" w:rsidP="0032429A">
            <w:pPr>
              <w:spacing w:after="0" w:line="240" w:lineRule="auto"/>
              <w:jc w:val="center"/>
              <w:rPr>
                <w:rFonts w:ascii="Calibri" w:eastAsia="Times New Roman" w:hAnsi="Calibri" w:cs="Times New Roman"/>
                <w:color w:val="000000"/>
                <w:lang w:eastAsia="en-AU"/>
              </w:rPr>
            </w:pPr>
            <w:r w:rsidRPr="00734D72">
              <w:rPr>
                <w:rFonts w:ascii="Calibri" w:eastAsia="Times New Roman" w:hAnsi="Calibri" w:cs="Times New Roman"/>
                <w:color w:val="000000"/>
                <w:lang w:eastAsia="en-AU"/>
              </w:rPr>
              <w:t>4.834</w:t>
            </w:r>
          </w:p>
        </w:tc>
      </w:tr>
      <w:tr w:rsidR="0032429A" w:rsidRPr="00734D72" w:rsidTr="0032429A">
        <w:trPr>
          <w:trHeight w:val="300"/>
        </w:trPr>
        <w:tc>
          <w:tcPr>
            <w:tcW w:w="2500" w:type="dxa"/>
            <w:tcBorders>
              <w:top w:val="nil"/>
              <w:left w:val="nil"/>
              <w:bottom w:val="single" w:sz="4" w:space="0" w:color="000000"/>
              <w:right w:val="nil"/>
            </w:tcBorders>
            <w:shd w:val="clear" w:color="D9D9D9" w:fill="D9D9D9"/>
            <w:noWrap/>
            <w:vAlign w:val="bottom"/>
          </w:tcPr>
          <w:p w:rsidR="0032429A" w:rsidRPr="00734D72" w:rsidRDefault="0032429A" w:rsidP="0032429A">
            <w:pPr>
              <w:spacing w:after="0" w:line="240" w:lineRule="auto"/>
              <w:rPr>
                <w:rFonts w:ascii="Calibri" w:eastAsia="Times New Roman" w:hAnsi="Calibri" w:cs="Times New Roman"/>
                <w:color w:val="000000"/>
                <w:lang w:eastAsia="en-AU"/>
              </w:rPr>
            </w:pPr>
          </w:p>
        </w:tc>
        <w:tc>
          <w:tcPr>
            <w:tcW w:w="1160" w:type="dxa"/>
            <w:tcBorders>
              <w:top w:val="nil"/>
              <w:left w:val="nil"/>
              <w:bottom w:val="single" w:sz="4" w:space="0" w:color="000000"/>
              <w:right w:val="nil"/>
            </w:tcBorders>
            <w:shd w:val="clear" w:color="D9D9D9" w:fill="D9D9D9"/>
            <w:noWrap/>
            <w:vAlign w:val="bottom"/>
          </w:tcPr>
          <w:p w:rsidR="0032429A" w:rsidRPr="00734D72" w:rsidRDefault="0032429A" w:rsidP="0032429A">
            <w:pPr>
              <w:spacing w:after="0" w:line="240" w:lineRule="auto"/>
              <w:jc w:val="center"/>
              <w:rPr>
                <w:rFonts w:ascii="Calibri" w:eastAsia="Times New Roman" w:hAnsi="Calibri" w:cs="Times New Roman"/>
                <w:color w:val="000000"/>
                <w:lang w:eastAsia="en-AU"/>
              </w:rPr>
            </w:pPr>
          </w:p>
        </w:tc>
        <w:tc>
          <w:tcPr>
            <w:tcW w:w="1160" w:type="dxa"/>
            <w:tcBorders>
              <w:top w:val="nil"/>
              <w:left w:val="nil"/>
              <w:bottom w:val="single" w:sz="4" w:space="0" w:color="000000"/>
              <w:right w:val="nil"/>
            </w:tcBorders>
            <w:shd w:val="clear" w:color="D9D9D9" w:fill="D9D9D9"/>
            <w:noWrap/>
            <w:vAlign w:val="bottom"/>
          </w:tcPr>
          <w:p w:rsidR="0032429A" w:rsidRPr="00734D72" w:rsidRDefault="0032429A" w:rsidP="0032429A">
            <w:pPr>
              <w:spacing w:after="0" w:line="240" w:lineRule="auto"/>
              <w:jc w:val="center"/>
              <w:rPr>
                <w:rFonts w:ascii="Calibri" w:eastAsia="Times New Roman" w:hAnsi="Calibri" w:cs="Times New Roman"/>
                <w:color w:val="000000"/>
                <w:lang w:eastAsia="en-AU"/>
              </w:rPr>
            </w:pPr>
          </w:p>
        </w:tc>
        <w:tc>
          <w:tcPr>
            <w:tcW w:w="1160" w:type="dxa"/>
            <w:tcBorders>
              <w:top w:val="nil"/>
              <w:left w:val="nil"/>
              <w:bottom w:val="single" w:sz="4" w:space="0" w:color="000000"/>
              <w:right w:val="nil"/>
            </w:tcBorders>
            <w:shd w:val="clear" w:color="D9D9D9" w:fill="D9D9D9"/>
            <w:noWrap/>
            <w:vAlign w:val="bottom"/>
          </w:tcPr>
          <w:p w:rsidR="0032429A" w:rsidRPr="00734D72" w:rsidRDefault="0032429A" w:rsidP="0032429A">
            <w:pPr>
              <w:spacing w:after="0" w:line="240" w:lineRule="auto"/>
              <w:jc w:val="center"/>
              <w:rPr>
                <w:rFonts w:ascii="Calibri" w:eastAsia="Times New Roman" w:hAnsi="Calibri" w:cs="Times New Roman"/>
                <w:color w:val="000000"/>
                <w:lang w:eastAsia="en-AU"/>
              </w:rPr>
            </w:pPr>
          </w:p>
        </w:tc>
        <w:tc>
          <w:tcPr>
            <w:tcW w:w="966" w:type="dxa"/>
            <w:tcBorders>
              <w:top w:val="nil"/>
              <w:left w:val="nil"/>
              <w:bottom w:val="single" w:sz="4" w:space="0" w:color="000000"/>
              <w:right w:val="nil"/>
            </w:tcBorders>
            <w:shd w:val="clear" w:color="D9D9D9" w:fill="D9D9D9"/>
            <w:noWrap/>
            <w:vAlign w:val="bottom"/>
          </w:tcPr>
          <w:p w:rsidR="0032429A" w:rsidRPr="00734D72" w:rsidRDefault="0032429A" w:rsidP="0032429A">
            <w:pPr>
              <w:spacing w:after="0" w:line="240" w:lineRule="auto"/>
              <w:jc w:val="center"/>
              <w:rPr>
                <w:rFonts w:ascii="Calibri" w:eastAsia="Times New Roman" w:hAnsi="Calibri" w:cs="Times New Roman"/>
                <w:color w:val="000000"/>
                <w:lang w:eastAsia="en-AU"/>
              </w:rPr>
            </w:pPr>
          </w:p>
        </w:tc>
        <w:tc>
          <w:tcPr>
            <w:tcW w:w="1354" w:type="dxa"/>
            <w:tcBorders>
              <w:top w:val="nil"/>
              <w:left w:val="nil"/>
              <w:bottom w:val="single" w:sz="4" w:space="0" w:color="000000"/>
              <w:right w:val="nil"/>
            </w:tcBorders>
            <w:shd w:val="clear" w:color="D9D9D9" w:fill="D9D9D9"/>
            <w:noWrap/>
            <w:vAlign w:val="bottom"/>
          </w:tcPr>
          <w:p w:rsidR="0032429A" w:rsidRPr="00734D72" w:rsidRDefault="0032429A" w:rsidP="0032429A">
            <w:pPr>
              <w:spacing w:after="0" w:line="240" w:lineRule="auto"/>
              <w:jc w:val="center"/>
              <w:rPr>
                <w:rFonts w:ascii="Calibri" w:eastAsia="Times New Roman" w:hAnsi="Calibri" w:cs="Times New Roman"/>
                <w:color w:val="000000"/>
                <w:lang w:eastAsia="en-AU"/>
              </w:rPr>
            </w:pPr>
          </w:p>
        </w:tc>
        <w:tc>
          <w:tcPr>
            <w:tcW w:w="997" w:type="dxa"/>
            <w:tcBorders>
              <w:top w:val="nil"/>
              <w:left w:val="nil"/>
              <w:bottom w:val="single" w:sz="4" w:space="0" w:color="000000"/>
              <w:right w:val="nil"/>
            </w:tcBorders>
            <w:shd w:val="clear" w:color="D9D9D9" w:fill="D9D9D9"/>
            <w:noWrap/>
            <w:vAlign w:val="bottom"/>
          </w:tcPr>
          <w:p w:rsidR="0032429A" w:rsidRPr="00734D72" w:rsidRDefault="0032429A" w:rsidP="0032429A">
            <w:pPr>
              <w:spacing w:after="0" w:line="240" w:lineRule="auto"/>
              <w:jc w:val="center"/>
              <w:rPr>
                <w:rFonts w:ascii="Calibri" w:eastAsia="Times New Roman" w:hAnsi="Calibri" w:cs="Times New Roman"/>
                <w:color w:val="000000"/>
                <w:lang w:eastAsia="en-AU"/>
              </w:rPr>
            </w:pPr>
          </w:p>
        </w:tc>
      </w:tr>
    </w:tbl>
    <w:p w:rsidR="0032429A" w:rsidRDefault="0032429A" w:rsidP="0032429A">
      <w:pPr>
        <w:rPr>
          <w:b/>
        </w:rPr>
      </w:pPr>
    </w:p>
    <w:p w:rsidR="0032429A" w:rsidRDefault="0032429A" w:rsidP="0032429A">
      <w:r>
        <w:t xml:space="preserve">Table A.4  </w:t>
      </w:r>
    </w:p>
    <w:p w:rsidR="0032429A" w:rsidRDefault="0032429A" w:rsidP="0032429A">
      <w:pPr>
        <w:spacing w:after="0" w:line="240" w:lineRule="auto"/>
        <w:rPr>
          <w:b/>
        </w:rPr>
      </w:pPr>
    </w:p>
    <w:p w:rsidR="0032429A" w:rsidRDefault="0032429A" w:rsidP="0032429A">
      <w:pPr>
        <w:spacing w:after="0" w:line="240" w:lineRule="auto"/>
        <w:rPr>
          <w:b/>
        </w:rPr>
      </w:pPr>
    </w:p>
    <w:p w:rsidR="0032429A" w:rsidRDefault="0032429A" w:rsidP="0032429A">
      <w:pPr>
        <w:spacing w:after="0" w:line="240" w:lineRule="auto"/>
        <w:rPr>
          <w:b/>
        </w:rPr>
      </w:pPr>
    </w:p>
    <w:p w:rsidR="0032429A" w:rsidRDefault="0032429A" w:rsidP="0032429A">
      <w:pPr>
        <w:spacing w:after="0" w:line="240" w:lineRule="auto"/>
        <w:rPr>
          <w:b/>
        </w:rPr>
      </w:pPr>
    </w:p>
    <w:p w:rsidR="0032429A" w:rsidRDefault="0032429A" w:rsidP="0032429A">
      <w:pPr>
        <w:spacing w:after="0" w:line="240" w:lineRule="auto"/>
        <w:rPr>
          <w:b/>
        </w:rPr>
      </w:pPr>
    </w:p>
    <w:p w:rsidR="0032429A" w:rsidRDefault="0032429A" w:rsidP="0032429A">
      <w:r>
        <w:t xml:space="preserve">Results of OLS Regression of  Grade Awarded on </w:t>
      </w:r>
      <w:proofErr w:type="spellStart"/>
      <w:r>
        <w:t>Learnline</w:t>
      </w:r>
      <w:proofErr w:type="spellEnd"/>
      <w:r>
        <w:t xml:space="preserve"> Activity  (Continuous Treatment) </w:t>
      </w:r>
      <w:r>
        <w:br/>
        <w:t>Pedagogic Context &amp; Student Characteristics</w:t>
      </w:r>
    </w:p>
    <w:tbl>
      <w:tblPr>
        <w:tblW w:w="10020" w:type="dxa"/>
        <w:tblLook w:val="04A0" w:firstRow="1" w:lastRow="0" w:firstColumn="1" w:lastColumn="0" w:noHBand="0" w:noVBand="1"/>
      </w:tblPr>
      <w:tblGrid>
        <w:gridCol w:w="2420"/>
        <w:gridCol w:w="1160"/>
        <w:gridCol w:w="1160"/>
        <w:gridCol w:w="1160"/>
        <w:gridCol w:w="1460"/>
        <w:gridCol w:w="1160"/>
        <w:gridCol w:w="1740"/>
      </w:tblGrid>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Source</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SS</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b/>
                <w:bCs/>
                <w:color w:val="000000"/>
                <w:lang w:eastAsia="en-AU"/>
              </w:rPr>
            </w:pPr>
            <w:proofErr w:type="spellStart"/>
            <w:r w:rsidRPr="00805DEB">
              <w:rPr>
                <w:rFonts w:ascii="Calibri" w:eastAsia="Times New Roman" w:hAnsi="Calibri" w:cs="Times New Roman"/>
                <w:b/>
                <w:bCs/>
                <w:color w:val="000000"/>
                <w:lang w:eastAsia="en-AU"/>
              </w:rPr>
              <w:t>df</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MS</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 xml:space="preserve">Number of </w:t>
            </w:r>
            <w:proofErr w:type="spellStart"/>
            <w:r w:rsidRPr="00805DEB">
              <w:rPr>
                <w:rFonts w:ascii="Calibri" w:eastAsia="Times New Roman" w:hAnsi="Calibri" w:cs="Times New Roman"/>
                <w:b/>
                <w:bCs/>
                <w:color w:val="000000"/>
                <w:lang w:eastAsia="en-AU"/>
              </w:rPr>
              <w:t>obs</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8970.000</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F(17, 8952)</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154.040</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Model</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2251.363</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17.000</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132.433</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proofErr w:type="spellStart"/>
            <w:r w:rsidRPr="00805DEB">
              <w:rPr>
                <w:rFonts w:ascii="Calibri" w:eastAsia="Times New Roman" w:hAnsi="Calibri" w:cs="Times New Roman"/>
                <w:color w:val="000000"/>
                <w:lang w:eastAsia="en-AU"/>
              </w:rPr>
              <w:t>Prob</w:t>
            </w:r>
            <w:proofErr w:type="spellEnd"/>
            <w:r w:rsidRPr="00805DEB">
              <w:rPr>
                <w:rFonts w:ascii="Calibri" w:eastAsia="Times New Roman" w:hAnsi="Calibri" w:cs="Times New Roman"/>
                <w:color w:val="000000"/>
                <w:lang w:eastAsia="en-AU"/>
              </w:rPr>
              <w:t xml:space="preserve"> &gt; F</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Residual</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7696.503</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8952.000</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0.860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R-squared</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0.226</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proofErr w:type="spellStart"/>
            <w:r w:rsidRPr="00805DEB">
              <w:rPr>
                <w:rFonts w:ascii="Calibri" w:eastAsia="Times New Roman" w:hAnsi="Calibri" w:cs="Times New Roman"/>
                <w:color w:val="000000"/>
                <w:lang w:eastAsia="en-AU"/>
              </w:rPr>
              <w:t>Adj</w:t>
            </w:r>
            <w:proofErr w:type="spellEnd"/>
            <w:r w:rsidRPr="00805DEB">
              <w:rPr>
                <w:rFonts w:ascii="Calibri" w:eastAsia="Times New Roman" w:hAnsi="Calibri" w:cs="Times New Roman"/>
                <w:color w:val="000000"/>
                <w:lang w:eastAsia="en-AU"/>
              </w:rPr>
              <w:t xml:space="preserve"> R-squared</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0.225</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Total</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9947.866</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8969.000</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1.109</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Root MSE</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0.927</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proofErr w:type="spellStart"/>
            <w:r w:rsidRPr="00805DEB">
              <w:rPr>
                <w:rFonts w:ascii="Calibri" w:eastAsia="Times New Roman" w:hAnsi="Calibri" w:cs="Times New Roman"/>
                <w:b/>
                <w:bCs/>
                <w:color w:val="000000"/>
                <w:lang w:eastAsia="en-AU"/>
              </w:rPr>
              <w:t>GradeScale</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proofErr w:type="spellStart"/>
            <w:r w:rsidRPr="00805DEB">
              <w:rPr>
                <w:rFonts w:ascii="Calibri" w:eastAsia="Times New Roman" w:hAnsi="Calibri" w:cs="Times New Roman"/>
                <w:b/>
                <w:bCs/>
                <w:color w:val="000000"/>
                <w:lang w:eastAsia="en-AU"/>
              </w:rPr>
              <w:t>Coef</w:t>
            </w:r>
            <w:proofErr w:type="spellEnd"/>
            <w:r w:rsidRPr="00805DEB">
              <w:rPr>
                <w:rFonts w:ascii="Calibri" w:eastAsia="Times New Roman" w:hAnsi="Calibri" w:cs="Times New Roman"/>
                <w:b/>
                <w:bCs/>
                <w:color w:val="000000"/>
                <w:lang w:eastAsia="en-AU"/>
              </w:rPr>
              <w:t>.</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Std. Err.</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t</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 xml:space="preserve">P&gt;t    </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b/>
                <w:bCs/>
                <w:color w:val="000000"/>
                <w:lang w:eastAsia="en-AU"/>
              </w:rPr>
            </w:pPr>
            <w:r w:rsidRPr="00805DEB">
              <w:rPr>
                <w:rFonts w:ascii="Calibri" w:eastAsia="Times New Roman" w:hAnsi="Calibri" w:cs="Times New Roman"/>
                <w:b/>
                <w:bCs/>
                <w:color w:val="000000"/>
                <w:lang w:eastAsia="en-AU"/>
              </w:rPr>
              <w:t xml:space="preserve">95% </w:t>
            </w:r>
            <w:proofErr w:type="spellStart"/>
            <w:r w:rsidRPr="00805DEB">
              <w:rPr>
                <w:rFonts w:ascii="Calibri" w:eastAsia="Times New Roman" w:hAnsi="Calibri" w:cs="Times New Roman"/>
                <w:b/>
                <w:bCs/>
                <w:color w:val="000000"/>
                <w:lang w:eastAsia="en-AU"/>
              </w:rPr>
              <w:t>Conf.Int</w:t>
            </w:r>
            <w:proofErr w:type="spellEnd"/>
            <w:r w:rsidRPr="00805DEB">
              <w:rPr>
                <w:rFonts w:ascii="Calibri" w:eastAsia="Times New Roman" w:hAnsi="Calibri" w:cs="Times New Roman"/>
                <w:b/>
                <w:bCs/>
                <w:color w:val="000000"/>
                <w:lang w:eastAsia="en-AU"/>
              </w:rPr>
              <w:t>.</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Common</w:t>
            </w:r>
            <w:r w:rsidRPr="00805DEB">
              <w:rPr>
                <w:rFonts w:ascii="Calibri" w:eastAsia="Times New Roman" w:hAnsi="Calibri" w:cs="Times New Roman"/>
                <w:color w:val="000000"/>
                <w:lang w:eastAsia="en-AU"/>
              </w:rPr>
              <w:t>n</w:t>
            </w:r>
            <w:proofErr w:type="spellEnd"/>
            <w:r w:rsidRPr="00805DEB">
              <w:rPr>
                <w:rFonts w:ascii="Calibri" w:eastAsia="Times New Roman" w:hAnsi="Calibri" w:cs="Times New Roman"/>
                <w:color w:val="000000"/>
                <w:lang w:eastAsia="en-AU"/>
              </w:rPr>
              <w:t xml:space="preserve"> by Mode</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 xml:space="preserve">Internal &amp; </w:t>
            </w:r>
            <w:proofErr w:type="spellStart"/>
            <w:r>
              <w:rPr>
                <w:rFonts w:ascii="Calibri" w:eastAsia="Times New Roman" w:hAnsi="Calibri" w:cs="Times New Roman"/>
                <w:color w:val="000000"/>
                <w:lang w:eastAsia="en-AU"/>
              </w:rPr>
              <w:t>Common</w:t>
            </w:r>
            <w:r w:rsidRPr="00805DEB">
              <w:rPr>
                <w:rFonts w:ascii="Calibri" w:eastAsia="Times New Roman" w:hAnsi="Calibri" w:cs="Times New Roman"/>
                <w:color w:val="000000"/>
                <w:lang w:eastAsia="en-AU"/>
              </w:rPr>
              <w:t>n</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0.438</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0.031</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14.040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0.377</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0.499</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External &amp; Core</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-0.093</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0.033</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-2.810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0.005</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-0.159</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-0.028</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 xml:space="preserve">External &amp; </w:t>
            </w:r>
            <w:proofErr w:type="spellStart"/>
            <w:r>
              <w:rPr>
                <w:rFonts w:ascii="Calibri" w:eastAsia="Times New Roman" w:hAnsi="Calibri" w:cs="Times New Roman"/>
                <w:color w:val="000000"/>
                <w:lang w:eastAsia="en-AU"/>
              </w:rPr>
              <w:t>Common</w:t>
            </w:r>
            <w:r w:rsidRPr="00805DEB">
              <w:rPr>
                <w:rFonts w:ascii="Calibri" w:eastAsia="Times New Roman" w:hAnsi="Calibri" w:cs="Times New Roman"/>
                <w:color w:val="000000"/>
                <w:lang w:eastAsia="en-AU"/>
              </w:rPr>
              <w:t>n</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0.601</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0.032</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18.770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0.538</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0.664</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FF0000"/>
                <w:lang w:eastAsia="en-AU"/>
              </w:rPr>
            </w:pPr>
            <w:proofErr w:type="spellStart"/>
            <w:r>
              <w:rPr>
                <w:rFonts w:ascii="Calibri" w:eastAsia="Times New Roman" w:hAnsi="Calibri" w:cs="Times New Roman"/>
                <w:color w:val="FF0000"/>
                <w:lang w:eastAsia="en-AU"/>
              </w:rPr>
              <w:t>Learnline</w:t>
            </w:r>
            <w:proofErr w:type="spellEnd"/>
            <w:r>
              <w:rPr>
                <w:rFonts w:ascii="Calibri" w:eastAsia="Times New Roman" w:hAnsi="Calibri" w:cs="Times New Roman"/>
                <w:color w:val="FF0000"/>
                <w:lang w:eastAsia="en-AU"/>
              </w:rPr>
              <w:t xml:space="preserve"> </w:t>
            </w:r>
            <w:r w:rsidRPr="00805DEB">
              <w:rPr>
                <w:rFonts w:ascii="Calibri" w:eastAsia="Times New Roman" w:hAnsi="Calibri" w:cs="Times New Roman"/>
                <w:color w:val="FF0000"/>
                <w:lang w:eastAsia="en-AU"/>
              </w:rPr>
              <w:t>Activity</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FF0000"/>
                <w:lang w:eastAsia="en-AU"/>
              </w:rPr>
            </w:pPr>
            <w:r w:rsidRPr="00805DEB">
              <w:rPr>
                <w:rFonts w:ascii="Calibri" w:eastAsia="Times New Roman" w:hAnsi="Calibri" w:cs="Times New Roman"/>
                <w:color w:val="FF0000"/>
                <w:lang w:eastAsia="en-AU"/>
              </w:rPr>
              <w:t>0.538</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FF0000"/>
                <w:lang w:eastAsia="en-AU"/>
              </w:rPr>
            </w:pPr>
            <w:r w:rsidRPr="00805DEB">
              <w:rPr>
                <w:rFonts w:ascii="Calibri" w:eastAsia="Times New Roman" w:hAnsi="Calibri" w:cs="Times New Roman"/>
                <w:color w:val="FF0000"/>
                <w:lang w:eastAsia="en-AU"/>
              </w:rPr>
              <w:t>0.036</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FF0000"/>
                <w:lang w:eastAsia="en-AU"/>
              </w:rPr>
            </w:pPr>
            <w:r w:rsidRPr="00805DEB">
              <w:rPr>
                <w:rFonts w:ascii="Calibri" w:eastAsia="Times New Roman" w:hAnsi="Calibri" w:cs="Times New Roman"/>
                <w:color w:val="FF0000"/>
                <w:lang w:eastAsia="en-AU"/>
              </w:rPr>
              <w:t>14.920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FF0000"/>
                <w:lang w:eastAsia="en-AU"/>
              </w:rPr>
            </w:pPr>
            <w:r w:rsidRPr="00805DEB">
              <w:rPr>
                <w:rFonts w:ascii="Calibri" w:eastAsia="Times New Roman" w:hAnsi="Calibri" w:cs="Times New Roman"/>
                <w:color w:val="FF0000"/>
                <w:lang w:eastAsia="en-AU"/>
              </w:rPr>
              <w:t>0.000</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FF0000"/>
                <w:lang w:eastAsia="en-AU"/>
              </w:rPr>
            </w:pPr>
            <w:r w:rsidRPr="00805DEB">
              <w:rPr>
                <w:rFonts w:ascii="Calibri" w:eastAsia="Times New Roman" w:hAnsi="Calibri" w:cs="Times New Roman"/>
                <w:color w:val="FF0000"/>
                <w:lang w:eastAsia="en-AU"/>
              </w:rPr>
              <w:t>0.467</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FF0000"/>
                <w:lang w:eastAsia="en-AU"/>
              </w:rPr>
            </w:pPr>
            <w:r w:rsidRPr="00805DEB">
              <w:rPr>
                <w:rFonts w:ascii="Calibri" w:eastAsia="Times New Roman" w:hAnsi="Calibri" w:cs="Times New Roman"/>
                <w:color w:val="FF0000"/>
                <w:lang w:eastAsia="en-AU"/>
              </w:rPr>
              <w:t>0.608</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05DEB" w:rsidTr="0032429A">
        <w:trPr>
          <w:trHeight w:val="300"/>
        </w:trPr>
        <w:tc>
          <w:tcPr>
            <w:tcW w:w="4500" w:type="dxa"/>
            <w:gridSpan w:val="3"/>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Common</w:t>
            </w:r>
            <w:r w:rsidRPr="00805DEB">
              <w:rPr>
                <w:rFonts w:ascii="Calibri" w:eastAsia="Times New Roman" w:hAnsi="Calibri" w:cs="Times New Roman"/>
                <w:color w:val="000000"/>
                <w:lang w:eastAsia="en-AU"/>
              </w:rPr>
              <w:t>n_mode#c.Learnline_Activity</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 xml:space="preserve">Internal &amp; </w:t>
            </w:r>
            <w:proofErr w:type="spellStart"/>
            <w:r>
              <w:rPr>
                <w:rFonts w:ascii="Calibri" w:eastAsia="Times New Roman" w:hAnsi="Calibri" w:cs="Times New Roman"/>
                <w:color w:val="000000"/>
                <w:lang w:eastAsia="en-AU"/>
              </w:rPr>
              <w:t>Common</w:t>
            </w:r>
            <w:r w:rsidRPr="00805DEB">
              <w:rPr>
                <w:rFonts w:ascii="Calibri" w:eastAsia="Times New Roman" w:hAnsi="Calibri" w:cs="Times New Roman"/>
                <w:color w:val="000000"/>
                <w:lang w:eastAsia="en-AU"/>
              </w:rPr>
              <w:t>n</w:t>
            </w:r>
            <w:proofErr w:type="spellEnd"/>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-0.117</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0.059</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-1.980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0.048</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-0.233</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-0.001</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External &amp; Core</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0.055</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0.048</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1.140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0.253</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-0.039</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0.148</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 xml:space="preserve">External &amp; </w:t>
            </w:r>
            <w:proofErr w:type="spellStart"/>
            <w:r>
              <w:rPr>
                <w:rFonts w:ascii="Calibri" w:eastAsia="Times New Roman" w:hAnsi="Calibri" w:cs="Times New Roman"/>
                <w:color w:val="000000"/>
                <w:lang w:eastAsia="en-AU"/>
              </w:rPr>
              <w:t>Common</w:t>
            </w:r>
            <w:r w:rsidRPr="00805DEB">
              <w:rPr>
                <w:rFonts w:ascii="Calibri" w:eastAsia="Times New Roman" w:hAnsi="Calibri" w:cs="Times New Roman"/>
                <w:color w:val="000000"/>
                <w:lang w:eastAsia="en-AU"/>
              </w:rPr>
              <w:t>n</w:t>
            </w:r>
            <w:proofErr w:type="spellEnd"/>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-0.148</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0.047</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-3.150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0.002</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-0.239</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-0.056</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Age</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0.008</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0.001</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5.970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0.005</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0.010</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Male</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-0.137</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0.022</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-6.220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-0.180</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-0.094</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Indigenous</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-0.275</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0.049</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-5.660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-0.371</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-0.180</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NESB</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-0.291</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0.028</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-10.220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-0.346</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-0.235</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roofErr w:type="spellStart"/>
            <w:r w:rsidRPr="00805DEB">
              <w:rPr>
                <w:rFonts w:ascii="Calibri" w:eastAsia="Times New Roman" w:hAnsi="Calibri" w:cs="Times New Roman"/>
                <w:color w:val="000000"/>
                <w:lang w:eastAsia="en-AU"/>
              </w:rPr>
              <w:t>BOA_HE_Course</w:t>
            </w:r>
            <w:proofErr w:type="spellEnd"/>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0.053</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0.044</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1.200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0.229</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-0.034</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0.141</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roofErr w:type="spellStart"/>
            <w:r w:rsidRPr="00805DEB">
              <w:rPr>
                <w:rFonts w:ascii="Calibri" w:eastAsia="Times New Roman" w:hAnsi="Calibri" w:cs="Times New Roman"/>
                <w:color w:val="000000"/>
                <w:lang w:eastAsia="en-AU"/>
              </w:rPr>
              <w:t>BOA_Mature_Age_Entry</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-0.197</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0.051</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-3.870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-0.297</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-0.097</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roofErr w:type="spellStart"/>
            <w:r w:rsidRPr="00805DEB">
              <w:rPr>
                <w:rFonts w:ascii="Calibri" w:eastAsia="Times New Roman" w:hAnsi="Calibri" w:cs="Times New Roman"/>
                <w:color w:val="000000"/>
                <w:lang w:eastAsia="en-AU"/>
              </w:rPr>
              <w:t>BOA_Prof_Qual</w:t>
            </w:r>
            <w:proofErr w:type="spellEnd"/>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-0.218</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0.057</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-3.840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-0.330</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-0.107</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roofErr w:type="spellStart"/>
            <w:r w:rsidRPr="00805DEB">
              <w:rPr>
                <w:rFonts w:ascii="Calibri" w:eastAsia="Times New Roman" w:hAnsi="Calibri" w:cs="Times New Roman"/>
                <w:color w:val="000000"/>
                <w:lang w:eastAsia="en-AU"/>
              </w:rPr>
              <w:t>BOA_Sec_Educ</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-0.067</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0.045</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-1.490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0.137</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-0.155</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0.021</w:t>
            </w:r>
          </w:p>
        </w:tc>
      </w:tr>
      <w:tr w:rsidR="0032429A" w:rsidRPr="00805DEB" w:rsidTr="0032429A">
        <w:trPr>
          <w:trHeight w:val="300"/>
        </w:trPr>
        <w:tc>
          <w:tcPr>
            <w:tcW w:w="218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roofErr w:type="spellStart"/>
            <w:r w:rsidRPr="00805DEB">
              <w:rPr>
                <w:rFonts w:ascii="Calibri" w:eastAsia="Times New Roman" w:hAnsi="Calibri" w:cs="Times New Roman"/>
                <w:color w:val="000000"/>
                <w:lang w:eastAsia="en-AU"/>
              </w:rPr>
              <w:t>BOA_TAFE_Award</w:t>
            </w:r>
            <w:proofErr w:type="spellEnd"/>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-0.129</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0.049</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-2.630</w:t>
            </w:r>
          </w:p>
        </w:tc>
        <w:tc>
          <w:tcPr>
            <w:tcW w:w="14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0.008</w:t>
            </w:r>
          </w:p>
        </w:tc>
        <w:tc>
          <w:tcPr>
            <w:tcW w:w="116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-0.225</w:t>
            </w:r>
          </w:p>
        </w:tc>
        <w:tc>
          <w:tcPr>
            <w:tcW w:w="1740" w:type="dxa"/>
            <w:tcBorders>
              <w:top w:val="nil"/>
              <w:left w:val="nil"/>
              <w:bottom w:val="nil"/>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-0.033</w:t>
            </w:r>
          </w:p>
        </w:tc>
      </w:tr>
      <w:tr w:rsidR="0032429A" w:rsidRPr="00805DEB" w:rsidTr="0032429A">
        <w:trPr>
          <w:trHeight w:val="300"/>
        </w:trPr>
        <w:tc>
          <w:tcPr>
            <w:tcW w:w="218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proofErr w:type="spellStart"/>
            <w:r w:rsidRPr="00805DEB">
              <w:rPr>
                <w:rFonts w:ascii="Calibri" w:eastAsia="Times New Roman" w:hAnsi="Calibri" w:cs="Times New Roman"/>
                <w:color w:val="000000"/>
                <w:lang w:eastAsia="en-AU"/>
              </w:rPr>
              <w:t>TER_Present</w:t>
            </w:r>
            <w:proofErr w:type="spellEnd"/>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0.243</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0.025</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9.740</w:t>
            </w:r>
          </w:p>
        </w:tc>
        <w:tc>
          <w:tcPr>
            <w:tcW w:w="14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0.194</w:t>
            </w:r>
          </w:p>
        </w:tc>
        <w:tc>
          <w:tcPr>
            <w:tcW w:w="1740" w:type="dxa"/>
            <w:tcBorders>
              <w:top w:val="nil"/>
              <w:left w:val="nil"/>
              <w:bottom w:val="nil"/>
              <w:right w:val="nil"/>
            </w:tcBorders>
            <w:shd w:val="clear" w:color="D9D9D9" w:fill="D9D9D9"/>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0.291</w:t>
            </w:r>
          </w:p>
        </w:tc>
      </w:tr>
      <w:tr w:rsidR="0032429A" w:rsidRPr="00805DEB" w:rsidTr="0032429A">
        <w:trPr>
          <w:trHeight w:val="300"/>
        </w:trPr>
        <w:tc>
          <w:tcPr>
            <w:tcW w:w="2180" w:type="dxa"/>
            <w:tcBorders>
              <w:top w:val="nil"/>
              <w:left w:val="nil"/>
              <w:bottom w:val="single" w:sz="4" w:space="0" w:color="000000"/>
              <w:right w:val="nil"/>
            </w:tcBorders>
            <w:shd w:val="clear" w:color="auto" w:fill="auto"/>
            <w:noWrap/>
            <w:vAlign w:val="bottom"/>
            <w:hideMark/>
          </w:tcPr>
          <w:p w:rsidR="0032429A" w:rsidRPr="00805DEB" w:rsidRDefault="0032429A" w:rsidP="0032429A">
            <w:pPr>
              <w:spacing w:after="0" w:line="240" w:lineRule="auto"/>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_cons</w:t>
            </w:r>
          </w:p>
        </w:tc>
        <w:tc>
          <w:tcPr>
            <w:tcW w:w="1160" w:type="dxa"/>
            <w:tcBorders>
              <w:top w:val="nil"/>
              <w:left w:val="nil"/>
              <w:bottom w:val="single" w:sz="4" w:space="0" w:color="000000"/>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4.571</w:t>
            </w:r>
          </w:p>
        </w:tc>
        <w:tc>
          <w:tcPr>
            <w:tcW w:w="1160" w:type="dxa"/>
            <w:tcBorders>
              <w:top w:val="nil"/>
              <w:left w:val="nil"/>
              <w:bottom w:val="single" w:sz="4" w:space="0" w:color="000000"/>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0.058</w:t>
            </w:r>
          </w:p>
        </w:tc>
        <w:tc>
          <w:tcPr>
            <w:tcW w:w="1160" w:type="dxa"/>
            <w:tcBorders>
              <w:top w:val="nil"/>
              <w:left w:val="nil"/>
              <w:bottom w:val="single" w:sz="4" w:space="0" w:color="000000"/>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79.470</w:t>
            </w:r>
          </w:p>
        </w:tc>
        <w:tc>
          <w:tcPr>
            <w:tcW w:w="1460" w:type="dxa"/>
            <w:tcBorders>
              <w:top w:val="nil"/>
              <w:left w:val="nil"/>
              <w:bottom w:val="single" w:sz="4" w:space="0" w:color="000000"/>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0.000</w:t>
            </w:r>
          </w:p>
        </w:tc>
        <w:tc>
          <w:tcPr>
            <w:tcW w:w="1160" w:type="dxa"/>
            <w:tcBorders>
              <w:top w:val="nil"/>
              <w:left w:val="nil"/>
              <w:bottom w:val="single" w:sz="4" w:space="0" w:color="000000"/>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4.458</w:t>
            </w:r>
          </w:p>
        </w:tc>
        <w:tc>
          <w:tcPr>
            <w:tcW w:w="1740" w:type="dxa"/>
            <w:tcBorders>
              <w:top w:val="nil"/>
              <w:left w:val="nil"/>
              <w:bottom w:val="single" w:sz="4" w:space="0" w:color="000000"/>
              <w:right w:val="nil"/>
            </w:tcBorders>
            <w:shd w:val="clear" w:color="auto" w:fill="auto"/>
            <w:noWrap/>
            <w:vAlign w:val="bottom"/>
            <w:hideMark/>
          </w:tcPr>
          <w:p w:rsidR="0032429A" w:rsidRPr="00805DEB" w:rsidRDefault="0032429A" w:rsidP="0032429A">
            <w:pPr>
              <w:spacing w:after="0" w:line="240" w:lineRule="auto"/>
              <w:jc w:val="center"/>
              <w:rPr>
                <w:rFonts w:ascii="Calibri" w:eastAsia="Times New Roman" w:hAnsi="Calibri" w:cs="Times New Roman"/>
                <w:color w:val="000000"/>
                <w:lang w:eastAsia="en-AU"/>
              </w:rPr>
            </w:pPr>
            <w:r w:rsidRPr="00805DEB">
              <w:rPr>
                <w:rFonts w:ascii="Calibri" w:eastAsia="Times New Roman" w:hAnsi="Calibri" w:cs="Times New Roman"/>
                <w:color w:val="000000"/>
                <w:lang w:eastAsia="en-AU"/>
              </w:rPr>
              <w:t>4.684</w:t>
            </w:r>
          </w:p>
        </w:tc>
      </w:tr>
    </w:tbl>
    <w:p w:rsidR="0032429A" w:rsidRDefault="0032429A" w:rsidP="0032429A">
      <w:pPr>
        <w:rPr>
          <w:b/>
        </w:rPr>
      </w:pPr>
    </w:p>
    <w:p w:rsidR="0032429A" w:rsidRDefault="0032429A" w:rsidP="0032429A">
      <w:r>
        <w:t>Table A.5  Results of OLS Regression: Collaborate Participation  by Pedagogic Context &amp; Student Background</w:t>
      </w:r>
    </w:p>
    <w:tbl>
      <w:tblPr>
        <w:tblW w:w="9800" w:type="dxa"/>
        <w:tblLook w:val="04A0" w:firstRow="1" w:lastRow="0" w:firstColumn="1" w:lastColumn="0" w:noHBand="0" w:noVBand="1"/>
      </w:tblPr>
      <w:tblGrid>
        <w:gridCol w:w="2840"/>
        <w:gridCol w:w="1160"/>
        <w:gridCol w:w="1400"/>
        <w:gridCol w:w="1240"/>
        <w:gridCol w:w="1160"/>
        <w:gridCol w:w="969"/>
        <w:gridCol w:w="1060"/>
      </w:tblGrid>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Source</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SS</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df</w:t>
            </w:r>
            <w:proofErr w:type="spellEnd"/>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MS</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 xml:space="preserve">Number of </w:t>
            </w:r>
            <w:proofErr w:type="spellStart"/>
            <w:r w:rsidRPr="008B77C3">
              <w:rPr>
                <w:rFonts w:ascii="Calibri" w:eastAsia="Times New Roman" w:hAnsi="Calibri" w:cs="Times New Roman"/>
                <w:color w:val="000000"/>
                <w:lang w:eastAsia="en-AU"/>
              </w:rPr>
              <w:t>obs</w:t>
            </w:r>
            <w:proofErr w:type="spellEnd"/>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3898.000</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F(17, 3880)</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47.350</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Model</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702.388</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17.000</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41.317</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Prob</w:t>
            </w:r>
            <w:proofErr w:type="spellEnd"/>
            <w:r w:rsidRPr="008B77C3">
              <w:rPr>
                <w:rFonts w:ascii="Calibri" w:eastAsia="Times New Roman" w:hAnsi="Calibri" w:cs="Times New Roman"/>
                <w:color w:val="000000"/>
                <w:lang w:eastAsia="en-AU"/>
              </w:rPr>
              <w:t xml:space="preserve"> &gt; F</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0.000</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Residual</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3385.631</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3880.000</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0.873</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R-squared</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0.172</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Adj</w:t>
            </w:r>
            <w:proofErr w:type="spellEnd"/>
            <w:r w:rsidRPr="008B77C3">
              <w:rPr>
                <w:rFonts w:ascii="Calibri" w:eastAsia="Times New Roman" w:hAnsi="Calibri" w:cs="Times New Roman"/>
                <w:color w:val="000000"/>
                <w:lang w:eastAsia="en-AU"/>
              </w:rPr>
              <w:t xml:space="preserve"> R-squared</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0.168</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Total</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4088.020</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3897.000</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right"/>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1.049</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Root MSE</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0.934</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b/>
                <w:bCs/>
                <w:color w:val="000000"/>
                <w:lang w:eastAsia="en-AU"/>
              </w:rPr>
            </w:pPr>
            <w:proofErr w:type="spellStart"/>
            <w:r w:rsidRPr="008B77C3">
              <w:rPr>
                <w:rFonts w:ascii="Calibri" w:eastAsia="Times New Roman" w:hAnsi="Calibri" w:cs="Times New Roman"/>
                <w:b/>
                <w:bCs/>
                <w:color w:val="000000"/>
                <w:lang w:eastAsia="en-AU"/>
              </w:rPr>
              <w:t>Grade_Scale</w:t>
            </w:r>
            <w:proofErr w:type="spellEnd"/>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000000"/>
                <w:lang w:eastAsia="en-AU"/>
              </w:rPr>
            </w:pPr>
            <w:proofErr w:type="spellStart"/>
            <w:r w:rsidRPr="008B77C3">
              <w:rPr>
                <w:rFonts w:ascii="Calibri" w:eastAsia="Times New Roman" w:hAnsi="Calibri" w:cs="Times New Roman"/>
                <w:b/>
                <w:bCs/>
                <w:color w:val="000000"/>
                <w:lang w:eastAsia="en-AU"/>
              </w:rPr>
              <w:t>Coef</w:t>
            </w:r>
            <w:proofErr w:type="spellEnd"/>
            <w:r w:rsidRPr="008B77C3">
              <w:rPr>
                <w:rFonts w:ascii="Calibri" w:eastAsia="Times New Roman" w:hAnsi="Calibri" w:cs="Times New Roman"/>
                <w:b/>
                <w:bCs/>
                <w:color w:val="000000"/>
                <w:lang w:eastAsia="en-AU"/>
              </w:rPr>
              <w:t>.</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000000"/>
                <w:lang w:eastAsia="en-AU"/>
              </w:rPr>
            </w:pPr>
            <w:r w:rsidRPr="008B77C3">
              <w:rPr>
                <w:rFonts w:ascii="Calibri" w:eastAsia="Times New Roman" w:hAnsi="Calibri" w:cs="Times New Roman"/>
                <w:b/>
                <w:bCs/>
                <w:color w:val="000000"/>
                <w:lang w:eastAsia="en-AU"/>
              </w:rPr>
              <w:t>Std. Err.</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000000"/>
                <w:lang w:eastAsia="en-AU"/>
              </w:rPr>
            </w:pPr>
            <w:r w:rsidRPr="008B77C3">
              <w:rPr>
                <w:rFonts w:ascii="Calibri" w:eastAsia="Times New Roman" w:hAnsi="Calibri" w:cs="Times New Roman"/>
                <w:b/>
                <w:bCs/>
                <w:color w:val="000000"/>
                <w:lang w:eastAsia="en-AU"/>
              </w:rPr>
              <w:t>t</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000000"/>
                <w:lang w:eastAsia="en-AU"/>
              </w:rPr>
            </w:pPr>
            <w:r w:rsidRPr="008B77C3">
              <w:rPr>
                <w:rFonts w:ascii="Calibri" w:eastAsia="Times New Roman" w:hAnsi="Calibri" w:cs="Times New Roman"/>
                <w:b/>
                <w:bCs/>
                <w:color w:val="000000"/>
                <w:lang w:eastAsia="en-AU"/>
              </w:rPr>
              <w:t xml:space="preserve"> P&gt;t     </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[95% Conf. Interval)</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b/>
                <w:bCs/>
                <w:i/>
                <w:iCs/>
                <w:color w:val="000000"/>
                <w:lang w:eastAsia="en-AU"/>
              </w:rPr>
            </w:pPr>
            <w:proofErr w:type="spellStart"/>
            <w:r>
              <w:rPr>
                <w:rFonts w:ascii="Calibri" w:eastAsia="Times New Roman" w:hAnsi="Calibri" w:cs="Times New Roman"/>
                <w:b/>
                <w:bCs/>
                <w:i/>
                <w:iCs/>
                <w:color w:val="000000"/>
                <w:lang w:eastAsia="en-AU"/>
              </w:rPr>
              <w:t>Common</w:t>
            </w:r>
            <w:r w:rsidRPr="008B77C3">
              <w:rPr>
                <w:rFonts w:ascii="Calibri" w:eastAsia="Times New Roman" w:hAnsi="Calibri" w:cs="Times New Roman"/>
                <w:b/>
                <w:bCs/>
                <w:i/>
                <w:iCs/>
                <w:color w:val="000000"/>
                <w:lang w:eastAsia="en-AU"/>
              </w:rPr>
              <w:t>n_mode</w:t>
            </w:r>
            <w:proofErr w:type="spellEnd"/>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b/>
                <w:bCs/>
                <w:i/>
                <w:iCs/>
                <w:color w:val="000000"/>
                <w:lang w:eastAsia="en-AU"/>
              </w:rPr>
            </w:pP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 xml:space="preserve">Internal &amp; </w:t>
            </w:r>
            <w:proofErr w:type="spellStart"/>
            <w:r>
              <w:rPr>
                <w:rFonts w:ascii="Calibri" w:eastAsia="Times New Roman" w:hAnsi="Calibri" w:cs="Times New Roman"/>
                <w:color w:val="000000"/>
                <w:lang w:eastAsia="en-AU"/>
              </w:rPr>
              <w:t>Common</w:t>
            </w:r>
            <w:r w:rsidRPr="008B77C3">
              <w:rPr>
                <w:rFonts w:ascii="Calibri" w:eastAsia="Times New Roman" w:hAnsi="Calibri" w:cs="Times New Roman"/>
                <w:color w:val="000000"/>
                <w:lang w:eastAsia="en-AU"/>
              </w:rPr>
              <w:t>n_Unit</w:t>
            </w:r>
            <w:proofErr w:type="spellEnd"/>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0.783</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0.186</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4.220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0.000</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0.419</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1.146</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External &amp; Core</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-0.619</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0.132</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-4.670</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0.000</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-0.878</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-0.359</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 xml:space="preserve">External &amp; </w:t>
            </w:r>
            <w:proofErr w:type="spellStart"/>
            <w:r>
              <w:rPr>
                <w:rFonts w:ascii="Calibri" w:eastAsia="Times New Roman" w:hAnsi="Calibri" w:cs="Times New Roman"/>
                <w:color w:val="000000"/>
                <w:lang w:eastAsia="en-AU"/>
              </w:rPr>
              <w:t>Common</w:t>
            </w:r>
            <w:r w:rsidRPr="008B77C3">
              <w:rPr>
                <w:rFonts w:ascii="Calibri" w:eastAsia="Times New Roman" w:hAnsi="Calibri" w:cs="Times New Roman"/>
                <w:color w:val="000000"/>
                <w:lang w:eastAsia="en-AU"/>
              </w:rPr>
              <w:t>n</w:t>
            </w:r>
            <w:proofErr w:type="spellEnd"/>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0.418</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0.125</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3.340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0.001</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0.173</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0.664</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b/>
                <w:bCs/>
                <w:color w:val="FF0000"/>
                <w:lang w:eastAsia="en-AU"/>
              </w:rPr>
            </w:pPr>
            <w:proofErr w:type="spellStart"/>
            <w:r w:rsidRPr="008B77C3">
              <w:rPr>
                <w:rFonts w:ascii="Calibri" w:eastAsia="Times New Roman" w:hAnsi="Calibri" w:cs="Times New Roman"/>
                <w:b/>
                <w:bCs/>
                <w:color w:val="FF0000"/>
                <w:lang w:eastAsia="en-AU"/>
              </w:rPr>
              <w:t>Collaborate_Participation</w:t>
            </w:r>
            <w:proofErr w:type="spellEnd"/>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FF0000"/>
                <w:lang w:eastAsia="en-AU"/>
              </w:rPr>
            </w:pPr>
            <w:r w:rsidRPr="008B77C3">
              <w:rPr>
                <w:rFonts w:ascii="Calibri" w:eastAsia="Times New Roman" w:hAnsi="Calibri" w:cs="Times New Roman"/>
                <w:b/>
                <w:bCs/>
                <w:color w:val="FF0000"/>
                <w:lang w:eastAsia="en-AU"/>
              </w:rPr>
              <w:t>0.100</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FF0000"/>
                <w:lang w:eastAsia="en-AU"/>
              </w:rPr>
            </w:pPr>
            <w:r w:rsidRPr="008B77C3">
              <w:rPr>
                <w:rFonts w:ascii="Calibri" w:eastAsia="Times New Roman" w:hAnsi="Calibri" w:cs="Times New Roman"/>
                <w:b/>
                <w:bCs/>
                <w:color w:val="FF0000"/>
                <w:lang w:eastAsia="en-AU"/>
              </w:rPr>
              <w:t>0.054</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FF0000"/>
                <w:lang w:eastAsia="en-AU"/>
              </w:rPr>
            </w:pPr>
            <w:r w:rsidRPr="008B77C3">
              <w:rPr>
                <w:rFonts w:ascii="Calibri" w:eastAsia="Times New Roman" w:hAnsi="Calibri" w:cs="Times New Roman"/>
                <w:b/>
                <w:bCs/>
                <w:color w:val="FF0000"/>
                <w:lang w:eastAsia="en-AU"/>
              </w:rPr>
              <w:t>1.840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FF0000"/>
                <w:lang w:eastAsia="en-AU"/>
              </w:rPr>
            </w:pPr>
            <w:r w:rsidRPr="008B77C3">
              <w:rPr>
                <w:rFonts w:ascii="Calibri" w:eastAsia="Times New Roman" w:hAnsi="Calibri" w:cs="Times New Roman"/>
                <w:b/>
                <w:bCs/>
                <w:color w:val="FF0000"/>
                <w:lang w:eastAsia="en-AU"/>
              </w:rPr>
              <w:t>0.067</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FF0000"/>
                <w:lang w:eastAsia="en-AU"/>
              </w:rPr>
            </w:pPr>
            <w:r w:rsidRPr="008B77C3">
              <w:rPr>
                <w:rFonts w:ascii="Calibri" w:eastAsia="Times New Roman" w:hAnsi="Calibri" w:cs="Times New Roman"/>
                <w:b/>
                <w:bCs/>
                <w:color w:val="FF0000"/>
                <w:lang w:eastAsia="en-AU"/>
              </w:rPr>
              <w:t>-0.007</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FF0000"/>
                <w:lang w:eastAsia="en-AU"/>
              </w:rPr>
            </w:pPr>
            <w:r w:rsidRPr="008B77C3">
              <w:rPr>
                <w:rFonts w:ascii="Calibri" w:eastAsia="Times New Roman" w:hAnsi="Calibri" w:cs="Times New Roman"/>
                <w:b/>
                <w:bCs/>
                <w:color w:val="FF0000"/>
                <w:lang w:eastAsia="en-AU"/>
              </w:rPr>
              <w:t>0.206</w:t>
            </w:r>
          </w:p>
        </w:tc>
      </w:tr>
      <w:tr w:rsidR="0032429A" w:rsidRPr="008B77C3" w:rsidTr="0032429A">
        <w:trPr>
          <w:trHeight w:val="315"/>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b/>
                <w:bCs/>
                <w:color w:val="FF000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B77C3" w:rsidTr="0032429A">
        <w:trPr>
          <w:trHeight w:val="300"/>
        </w:trPr>
        <w:tc>
          <w:tcPr>
            <w:tcW w:w="5400" w:type="dxa"/>
            <w:gridSpan w:val="3"/>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Common</w:t>
            </w:r>
            <w:r w:rsidRPr="008B77C3">
              <w:rPr>
                <w:rFonts w:ascii="Calibri" w:eastAsia="Times New Roman" w:hAnsi="Calibri" w:cs="Times New Roman"/>
                <w:color w:val="000000"/>
                <w:lang w:eastAsia="en-AU"/>
              </w:rPr>
              <w:t>n_mode#c.Collaborate_Participation</w:t>
            </w:r>
            <w:proofErr w:type="spellEnd"/>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 xml:space="preserve">Internal &amp; </w:t>
            </w:r>
            <w:proofErr w:type="spellStart"/>
            <w:r>
              <w:rPr>
                <w:rFonts w:ascii="Calibri" w:eastAsia="Times New Roman" w:hAnsi="Calibri" w:cs="Times New Roman"/>
                <w:color w:val="000000"/>
                <w:lang w:eastAsia="en-AU"/>
              </w:rPr>
              <w:t>Common</w:t>
            </w:r>
            <w:r w:rsidRPr="008B77C3">
              <w:rPr>
                <w:rFonts w:ascii="Calibri" w:eastAsia="Times New Roman" w:hAnsi="Calibri" w:cs="Times New Roman"/>
                <w:color w:val="000000"/>
                <w:lang w:eastAsia="en-AU"/>
              </w:rPr>
              <w:t>n_Unit</w:t>
            </w:r>
            <w:proofErr w:type="spellEnd"/>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-0.122</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0.090</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-1.360</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0.174</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-0.299</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0.054</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External &amp; Core</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0.198</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0.061</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3.230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0.001</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0.078</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0.318</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 xml:space="preserve">External &amp; </w:t>
            </w:r>
            <w:proofErr w:type="spellStart"/>
            <w:r>
              <w:rPr>
                <w:rFonts w:ascii="Calibri" w:eastAsia="Times New Roman" w:hAnsi="Calibri" w:cs="Times New Roman"/>
                <w:color w:val="000000"/>
                <w:lang w:eastAsia="en-AU"/>
              </w:rPr>
              <w:t>Common</w:t>
            </w:r>
            <w:r w:rsidRPr="008B77C3">
              <w:rPr>
                <w:rFonts w:ascii="Calibri" w:eastAsia="Times New Roman" w:hAnsi="Calibri" w:cs="Times New Roman"/>
                <w:color w:val="000000"/>
                <w:lang w:eastAsia="en-AU"/>
              </w:rPr>
              <w:t>n</w:t>
            </w:r>
            <w:proofErr w:type="spellEnd"/>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0.083</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0.060</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1.390</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0.164</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-0.034</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0.200</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Times New Roman" w:eastAsia="Times New Roman" w:hAnsi="Times New Roman" w:cs="Times New Roman"/>
                <w:sz w:val="20"/>
                <w:szCs w:val="20"/>
                <w:lang w:eastAsia="en-AU"/>
              </w:rPr>
            </w:pP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Times New Roman" w:eastAsia="Times New Roman" w:hAnsi="Times New Roman" w:cs="Times New Roman"/>
                <w:sz w:val="20"/>
                <w:szCs w:val="20"/>
                <w:lang w:eastAsia="en-AU"/>
              </w:rPr>
            </w:pP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Age</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0.005</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0.002</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2.960</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0.003</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0.002</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0.008</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Male</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-0.071</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0.036</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-1.960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0.050</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-0.142</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0.000</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Indigenous</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-0.322</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0.079</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-4.100</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0.000</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-0.476</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-0.168</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NESB</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-0.237</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0.049</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-4.800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0.000</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-0.334</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-0.140</w:t>
            </w:r>
          </w:p>
        </w:tc>
      </w:tr>
      <w:tr w:rsidR="0032429A" w:rsidRPr="008B77C3" w:rsidTr="0032429A">
        <w:trPr>
          <w:trHeight w:val="315"/>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BOA_HE_Course</w:t>
            </w:r>
            <w:proofErr w:type="spellEnd"/>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0.099</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0.070</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1.410</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0.159</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-0.039</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0.236</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BOA_Mature_Age_Entry</w:t>
            </w:r>
            <w:proofErr w:type="spellEnd"/>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-0.218</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0.075</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-2.910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0.004</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-0.365</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-0.071</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BOA_Professional_Qual</w:t>
            </w:r>
            <w:proofErr w:type="spellEnd"/>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-0.259</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0.080</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-3.230</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0.001</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-0.416</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-0.102</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BOA_SEC_Education</w:t>
            </w:r>
            <w:proofErr w:type="spellEnd"/>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-0.077</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0.072</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-1.070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0.286</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-0.219</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0.065</w:t>
            </w:r>
          </w:p>
        </w:tc>
      </w:tr>
      <w:tr w:rsidR="0032429A" w:rsidRPr="008B77C3" w:rsidTr="0032429A">
        <w:trPr>
          <w:trHeight w:val="300"/>
        </w:trPr>
        <w:tc>
          <w:tcPr>
            <w:tcW w:w="28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BOA_TAFE_Award</w:t>
            </w:r>
            <w:proofErr w:type="spellEnd"/>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-0.177</w:t>
            </w:r>
          </w:p>
        </w:tc>
        <w:tc>
          <w:tcPr>
            <w:tcW w:w="140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0.073</w:t>
            </w:r>
          </w:p>
        </w:tc>
        <w:tc>
          <w:tcPr>
            <w:tcW w:w="12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-2.420</w:t>
            </w:r>
          </w:p>
        </w:tc>
        <w:tc>
          <w:tcPr>
            <w:tcW w:w="11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0.015</w:t>
            </w:r>
          </w:p>
        </w:tc>
        <w:tc>
          <w:tcPr>
            <w:tcW w:w="94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-0.320</w:t>
            </w:r>
          </w:p>
        </w:tc>
        <w:tc>
          <w:tcPr>
            <w:tcW w:w="1060" w:type="dxa"/>
            <w:tcBorders>
              <w:top w:val="nil"/>
              <w:left w:val="nil"/>
              <w:bottom w:val="nil"/>
              <w:right w:val="nil"/>
            </w:tcBorders>
            <w:shd w:val="clear" w:color="auto" w:fill="auto"/>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-0.034</w:t>
            </w:r>
          </w:p>
        </w:tc>
      </w:tr>
      <w:tr w:rsidR="0032429A" w:rsidRPr="008B77C3" w:rsidTr="0032429A">
        <w:trPr>
          <w:trHeight w:val="300"/>
        </w:trPr>
        <w:tc>
          <w:tcPr>
            <w:tcW w:w="28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rPr>
                <w:rFonts w:ascii="Calibri" w:eastAsia="Times New Roman" w:hAnsi="Calibri" w:cs="Times New Roman"/>
                <w:color w:val="000000"/>
                <w:lang w:eastAsia="en-AU"/>
              </w:rPr>
            </w:pPr>
            <w:proofErr w:type="spellStart"/>
            <w:r w:rsidRPr="008B77C3">
              <w:rPr>
                <w:rFonts w:ascii="Calibri" w:eastAsia="Times New Roman" w:hAnsi="Calibri" w:cs="Times New Roman"/>
                <w:color w:val="000000"/>
                <w:lang w:eastAsia="en-AU"/>
              </w:rPr>
              <w:t>TER_Present</w:t>
            </w:r>
            <w:proofErr w:type="spellEnd"/>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0.157</w:t>
            </w:r>
          </w:p>
        </w:tc>
        <w:tc>
          <w:tcPr>
            <w:tcW w:w="140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0.036</w:t>
            </w:r>
          </w:p>
        </w:tc>
        <w:tc>
          <w:tcPr>
            <w:tcW w:w="12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4.390</w:t>
            </w:r>
          </w:p>
        </w:tc>
        <w:tc>
          <w:tcPr>
            <w:tcW w:w="11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0.000</w:t>
            </w:r>
          </w:p>
        </w:tc>
        <w:tc>
          <w:tcPr>
            <w:tcW w:w="94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0.087</w:t>
            </w:r>
          </w:p>
        </w:tc>
        <w:tc>
          <w:tcPr>
            <w:tcW w:w="1060" w:type="dxa"/>
            <w:tcBorders>
              <w:top w:val="nil"/>
              <w:left w:val="nil"/>
              <w:bottom w:val="nil"/>
              <w:right w:val="nil"/>
            </w:tcBorders>
            <w:shd w:val="clear" w:color="D9D9D9" w:fill="D9D9D9"/>
            <w:noWrap/>
            <w:vAlign w:val="bottom"/>
            <w:hideMark/>
          </w:tcPr>
          <w:p w:rsidR="0032429A" w:rsidRPr="008B77C3" w:rsidRDefault="0032429A" w:rsidP="0032429A">
            <w:pPr>
              <w:spacing w:after="0" w:line="240" w:lineRule="auto"/>
              <w:jc w:val="center"/>
              <w:rPr>
                <w:rFonts w:ascii="Calibri" w:eastAsia="Times New Roman" w:hAnsi="Calibri" w:cs="Times New Roman"/>
                <w:color w:val="000000"/>
                <w:lang w:eastAsia="en-AU"/>
              </w:rPr>
            </w:pPr>
            <w:r w:rsidRPr="008B77C3">
              <w:rPr>
                <w:rFonts w:ascii="Calibri" w:eastAsia="Times New Roman" w:hAnsi="Calibri" w:cs="Times New Roman"/>
                <w:color w:val="000000"/>
                <w:lang w:eastAsia="en-AU"/>
              </w:rPr>
              <w:t>0.227</w:t>
            </w:r>
          </w:p>
        </w:tc>
      </w:tr>
    </w:tbl>
    <w:p w:rsidR="0032429A" w:rsidRDefault="0032429A" w:rsidP="0032429A">
      <w:pPr>
        <w:rPr>
          <w:b/>
        </w:rPr>
      </w:pPr>
    </w:p>
    <w:p w:rsidR="0032429A" w:rsidRDefault="0032429A" w:rsidP="0032429A">
      <w:pPr>
        <w:rPr>
          <w:b/>
        </w:rPr>
      </w:pPr>
    </w:p>
    <w:p w:rsidR="0032429A" w:rsidRDefault="0032429A" w:rsidP="0032429A">
      <w:pPr>
        <w:rPr>
          <w:b/>
        </w:rPr>
      </w:pPr>
    </w:p>
    <w:p w:rsidR="0032429A" w:rsidRDefault="0032429A">
      <w:pPr>
        <w:rPr>
          <w:b/>
        </w:rPr>
      </w:pPr>
      <w:r>
        <w:rPr>
          <w:b/>
        </w:rPr>
        <w:br w:type="page"/>
      </w:r>
    </w:p>
    <w:p w:rsidR="0032429A" w:rsidRDefault="0032429A" w:rsidP="0032429A">
      <w:pPr>
        <w:rPr>
          <w:b/>
        </w:rPr>
      </w:pPr>
    </w:p>
    <w:p w:rsidR="0032429A" w:rsidRDefault="0032429A" w:rsidP="0032429A">
      <w:r>
        <w:t xml:space="preserve">Table A.6  Results of Endogenous Treatment  Regression Model  – </w:t>
      </w:r>
      <w:proofErr w:type="spellStart"/>
      <w:r>
        <w:t>Learnline</w:t>
      </w:r>
      <w:proofErr w:type="spellEnd"/>
      <w:r>
        <w:t xml:space="preserve"> Activity </w:t>
      </w:r>
    </w:p>
    <w:tbl>
      <w:tblPr>
        <w:tblW w:w="10243" w:type="dxa"/>
        <w:tblLook w:val="04A0" w:firstRow="1" w:lastRow="0" w:firstColumn="1" w:lastColumn="0" w:noHBand="0" w:noVBand="1"/>
      </w:tblPr>
      <w:tblGrid>
        <w:gridCol w:w="2480"/>
        <w:gridCol w:w="1881"/>
        <w:gridCol w:w="1701"/>
        <w:gridCol w:w="1134"/>
        <w:gridCol w:w="904"/>
        <w:gridCol w:w="1109"/>
        <w:gridCol w:w="1034"/>
      </w:tblGrid>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inear</w:t>
            </w:r>
            <w:proofErr w:type="spellEnd"/>
            <w:r w:rsidRPr="0032429A">
              <w:rPr>
                <w:rFonts w:ascii="Calibri" w:eastAsia="Times New Roman" w:hAnsi="Calibri" w:cs="Times New Roman"/>
                <w:color w:val="000000"/>
                <w:sz w:val="16"/>
                <w:szCs w:val="16"/>
                <w:lang w:eastAsia="en-AU"/>
              </w:rPr>
              <w:t xml:space="preserve"> regression with endogenous treatment</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Number of </w:t>
            </w:r>
            <w:proofErr w:type="spellStart"/>
            <w:r w:rsidRPr="0032429A">
              <w:rPr>
                <w:rFonts w:ascii="Calibri" w:eastAsia="Times New Roman" w:hAnsi="Calibri" w:cs="Times New Roman"/>
                <w:color w:val="000000"/>
                <w:sz w:val="16"/>
                <w:szCs w:val="16"/>
                <w:lang w:eastAsia="en-AU"/>
              </w:rPr>
              <w:t>obs</w:t>
            </w:r>
            <w:proofErr w:type="spellEnd"/>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8994.000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Estimator: maximum likelihood</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Wald chi2(15)</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1545.690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Log </w:t>
            </w:r>
            <w:proofErr w:type="spellStart"/>
            <w:r w:rsidRPr="0032429A">
              <w:rPr>
                <w:rFonts w:ascii="Calibri" w:eastAsia="Times New Roman" w:hAnsi="Calibri" w:cs="Times New Roman"/>
                <w:color w:val="000000"/>
                <w:sz w:val="16"/>
                <w:szCs w:val="16"/>
                <w:lang w:eastAsia="en-AU"/>
              </w:rPr>
              <w:t>pseudolikelihood</w:t>
            </w:r>
            <w:proofErr w:type="spellEnd"/>
            <w:r w:rsidRPr="0032429A">
              <w:rPr>
                <w:rFonts w:ascii="Calibri" w:eastAsia="Times New Roman" w:hAnsi="Calibri" w:cs="Times New Roman"/>
                <w:color w:val="000000"/>
                <w:sz w:val="16"/>
                <w:szCs w:val="16"/>
                <w:lang w:eastAsia="en-AU"/>
              </w:rPr>
              <w:t xml:space="preserve"> = -17514.715</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Prob</w:t>
            </w:r>
            <w:proofErr w:type="spellEnd"/>
            <w:r w:rsidRPr="0032429A">
              <w:rPr>
                <w:rFonts w:ascii="Calibri" w:eastAsia="Times New Roman" w:hAnsi="Calibri" w:cs="Times New Roman"/>
                <w:color w:val="000000"/>
                <w:sz w:val="16"/>
                <w:szCs w:val="16"/>
                <w:lang w:eastAsia="en-AU"/>
              </w:rPr>
              <w:t xml:space="preserve"> &gt; chi2</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Robust</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Coef</w:t>
            </w:r>
            <w:proofErr w:type="spellEnd"/>
            <w:r w:rsidRPr="0032429A">
              <w:rPr>
                <w:rFonts w:ascii="Calibri" w:eastAsia="Times New Roman" w:hAnsi="Calibri" w:cs="Times New Roman"/>
                <w:color w:val="000000"/>
                <w:sz w:val="16"/>
                <w:szCs w:val="16"/>
                <w:lang w:eastAsia="en-AU"/>
              </w:rPr>
              <w:t>.</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Std. Err.</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z</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P&gt;z  </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   [95% Conf.</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Interval]</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GradeScale</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Commonn_mode</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Internal &amp; </w:t>
            </w:r>
            <w:proofErr w:type="spellStart"/>
            <w:r w:rsidRPr="0032429A">
              <w:rPr>
                <w:rFonts w:ascii="Calibri" w:eastAsia="Times New Roman" w:hAnsi="Calibri" w:cs="Times New Roman"/>
                <w:color w:val="000000"/>
                <w:sz w:val="16"/>
                <w:szCs w:val="16"/>
                <w:lang w:eastAsia="en-AU"/>
              </w:rPr>
              <w:t>Commonn</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0.3917892</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0.059</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6.660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0.276</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0.507</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External &amp; Core</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-0.2993897</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0.063</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-4.790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-0.422</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-0.177</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External &amp; </w:t>
            </w:r>
            <w:proofErr w:type="spellStart"/>
            <w:r w:rsidRPr="0032429A">
              <w:rPr>
                <w:rFonts w:ascii="Calibri" w:eastAsia="Times New Roman" w:hAnsi="Calibri" w:cs="Times New Roman"/>
                <w:color w:val="000000"/>
                <w:sz w:val="16"/>
                <w:szCs w:val="16"/>
                <w:lang w:eastAsia="en-AU"/>
              </w:rPr>
              <w:t>Commonn</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0.3767281</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0.065</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5.820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0.250</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0.504</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1.Learnline_dich</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1.442858</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0.152</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9.480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1.145</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1.741</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4361" w:type="dxa"/>
            <w:gridSpan w:val="2"/>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Commonn_mode#Learnline_dich</w:t>
            </w:r>
            <w:proofErr w:type="spellEnd"/>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Internal &amp; Commonn#1</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-0.1196485</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0.070</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-1.700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0.089</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-0.257</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0.018</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External &amp; Core#1</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0.2539173</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0.073</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3.500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0.112</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0.396</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External &amp; Commonn#1</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0.0897175</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0.077</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1.170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0.242</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-0.061</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0.240</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Age</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0.0021864</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0.002</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1.210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0.227</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-0.001</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0.006</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Male</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-0.0942346</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0.025</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-3.710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-0.144</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-0.044</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Indigenous</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-0.213088</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0.059</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-3.620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-0.328</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-0.098</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NESB</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-0.2964868</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0.031</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-9.470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-0.358</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-0.235</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BOA_HE_Course</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0.136218</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0.027</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5.010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0.083</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0.190</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BOA_Mature_Age_Entry</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-0.1217863</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0.039</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-3.110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0.002</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-0.199</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-0.045</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BOA_TAFE_Award</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-0.0941398</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0.036</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-2.650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0.008</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-0.164</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-0.024</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TER_Present</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0.3205332</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0.028</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11.410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0.265</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0.376</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_cons</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3.741744</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0.096</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38.970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3.554</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3.930</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Learnline_dich</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Commonn_mode</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Internal &amp; </w:t>
            </w:r>
            <w:proofErr w:type="spellStart"/>
            <w:r w:rsidRPr="0032429A">
              <w:rPr>
                <w:rFonts w:ascii="Calibri" w:eastAsia="Times New Roman" w:hAnsi="Calibri" w:cs="Times New Roman"/>
                <w:color w:val="000000"/>
                <w:sz w:val="16"/>
                <w:szCs w:val="16"/>
                <w:lang w:eastAsia="en-AU"/>
              </w:rPr>
              <w:t>Commonn</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0.3929841</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0.042</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9.330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0.310</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0.476</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External &amp; Core</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0.2357895</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0.047</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5.040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0.144</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0.328</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External &amp; </w:t>
            </w:r>
            <w:proofErr w:type="spellStart"/>
            <w:r w:rsidRPr="0032429A">
              <w:rPr>
                <w:rFonts w:ascii="Calibri" w:eastAsia="Times New Roman" w:hAnsi="Calibri" w:cs="Times New Roman"/>
                <w:color w:val="000000"/>
                <w:sz w:val="16"/>
                <w:szCs w:val="16"/>
                <w:lang w:eastAsia="en-AU"/>
              </w:rPr>
              <w:t>Commonn</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0.4695063</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0.046</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10.170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0.379</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0.560</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Age</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0.0272352</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0.002</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13.130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0.023</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0.031</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Male</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-0.1685854</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0.030</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-5.560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-0.228</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-0.109</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Indigenous</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-0.3640985</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0.072</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-5.030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-0.506</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-0.222</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NESB</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0.004745</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0.040</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0.120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0.906</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-0.074</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0.083</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BOA_HE_Course</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-0.0311367</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0.036</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-0.850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0.393</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-0.103</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0.040</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BOA_Mature_Age_Entry</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0.0729737</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0.056</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1.310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0.192</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-0.037</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0.182</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BOA_Prof_Qual</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-0.1186257</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0.060</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-1.960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0.049</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-0.237</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BOA_TAFE_Award</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b/>
                <w:bCs/>
                <w:color w:val="000000"/>
                <w:sz w:val="16"/>
                <w:szCs w:val="16"/>
                <w:lang w:eastAsia="en-AU"/>
              </w:rPr>
            </w:pPr>
            <w:r w:rsidRPr="0032429A">
              <w:rPr>
                <w:rFonts w:ascii="Calibri" w:eastAsia="Times New Roman" w:hAnsi="Calibri" w:cs="Times New Roman"/>
                <w:b/>
                <w:bCs/>
                <w:color w:val="000000"/>
                <w:sz w:val="16"/>
                <w:szCs w:val="16"/>
                <w:lang w:eastAsia="en-AU"/>
              </w:rPr>
              <w:t>0.2121092</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b/>
                <w:bCs/>
                <w:color w:val="000000"/>
                <w:sz w:val="16"/>
                <w:szCs w:val="16"/>
                <w:lang w:eastAsia="en-AU"/>
              </w:rPr>
            </w:pPr>
            <w:r w:rsidRPr="0032429A">
              <w:rPr>
                <w:rFonts w:ascii="Calibri" w:eastAsia="Times New Roman" w:hAnsi="Calibri" w:cs="Times New Roman"/>
                <w:b/>
                <w:bCs/>
                <w:color w:val="000000"/>
                <w:sz w:val="16"/>
                <w:szCs w:val="16"/>
                <w:lang w:eastAsia="en-AU"/>
              </w:rPr>
              <w:t>0.052</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b/>
                <w:bCs/>
                <w:color w:val="000000"/>
                <w:sz w:val="16"/>
                <w:szCs w:val="16"/>
                <w:lang w:eastAsia="en-AU"/>
              </w:rPr>
            </w:pPr>
            <w:r w:rsidRPr="0032429A">
              <w:rPr>
                <w:rFonts w:ascii="Calibri" w:eastAsia="Times New Roman" w:hAnsi="Calibri" w:cs="Times New Roman"/>
                <w:b/>
                <w:bCs/>
                <w:color w:val="000000"/>
                <w:sz w:val="16"/>
                <w:szCs w:val="16"/>
                <w:lang w:eastAsia="en-AU"/>
              </w:rPr>
              <w:t>4.080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b/>
                <w:bCs/>
                <w:color w:val="000000"/>
                <w:sz w:val="16"/>
                <w:szCs w:val="16"/>
                <w:lang w:eastAsia="en-AU"/>
              </w:rPr>
            </w:pPr>
            <w:r w:rsidRPr="0032429A">
              <w:rPr>
                <w:rFonts w:ascii="Calibri" w:eastAsia="Times New Roman" w:hAnsi="Calibri" w:cs="Times New Roman"/>
                <w:b/>
                <w:bCs/>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b/>
                <w:bCs/>
                <w:color w:val="000000"/>
                <w:sz w:val="16"/>
                <w:szCs w:val="16"/>
                <w:lang w:eastAsia="en-AU"/>
              </w:rPr>
            </w:pPr>
            <w:r w:rsidRPr="0032429A">
              <w:rPr>
                <w:rFonts w:ascii="Calibri" w:eastAsia="Times New Roman" w:hAnsi="Calibri" w:cs="Times New Roman"/>
                <w:b/>
                <w:bCs/>
                <w:color w:val="000000"/>
                <w:sz w:val="16"/>
                <w:szCs w:val="16"/>
                <w:lang w:eastAsia="en-AU"/>
              </w:rPr>
              <w:t>0.110</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b/>
                <w:bCs/>
                <w:color w:val="000000"/>
                <w:sz w:val="16"/>
                <w:szCs w:val="16"/>
                <w:lang w:eastAsia="en-AU"/>
              </w:rPr>
            </w:pPr>
            <w:r w:rsidRPr="0032429A">
              <w:rPr>
                <w:rFonts w:ascii="Calibri" w:eastAsia="Times New Roman" w:hAnsi="Calibri" w:cs="Times New Roman"/>
                <w:b/>
                <w:bCs/>
                <w:color w:val="000000"/>
                <w:sz w:val="16"/>
                <w:szCs w:val="16"/>
                <w:lang w:eastAsia="en-AU"/>
              </w:rPr>
              <w:t>0.314</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lastRenderedPageBreak/>
              <w:t>BOA_Other</w:t>
            </w:r>
            <w:proofErr w:type="spellEnd"/>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0.2285723</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0.097</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2.360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0.018</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0.039</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0.418</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TER_Present</w:t>
            </w:r>
            <w:proofErr w:type="spellEnd"/>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-0.2273225</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0.034</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-6.610</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-0.295</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-0.160</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_cons</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-0.471563</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0.067</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-7.020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-0.603</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-0.340</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/athrho0</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-0.7270406</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0.118</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-6.150</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-0.959</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-0.495</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/lnsigma0</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0.1185469</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0.0426331</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2.78</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0.005</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0.0349875</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0.2021063</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/athrho1</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-0.5056526</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0.1142754</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-4.42</w:t>
            </w: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w:t>
            </w: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-0.7296284</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-0.2816769</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/lnsigma1</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-0.0215051</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0.0253425</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-0.85</w:t>
            </w: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0.396</w:t>
            </w: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-0.0711754</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0.0281653</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rho0</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-0.6212515</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0.0726007</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-0.7437293</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-0.4584189</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sigma0</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1.12586</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0.0479989</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1.035607</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1.223978</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lambda0</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-0.699442</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0.1107378</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-0.9164841</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-0.4823999</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rho1</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-0.466551</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0.0894011</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-0.622838</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-0.2744564</w:t>
            </w:r>
          </w:p>
        </w:tc>
      </w:tr>
      <w:tr w:rsidR="0032429A" w:rsidRPr="0032429A" w:rsidTr="0032429A">
        <w:trPr>
          <w:trHeight w:val="300"/>
        </w:trPr>
        <w:tc>
          <w:tcPr>
            <w:tcW w:w="248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sigma1</w:t>
            </w:r>
          </w:p>
        </w:tc>
        <w:tc>
          <w:tcPr>
            <w:tcW w:w="188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0.9787245</w:t>
            </w:r>
          </w:p>
        </w:tc>
        <w:tc>
          <w:tcPr>
            <w:tcW w:w="1701"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0.0248033</w:t>
            </w:r>
          </w:p>
        </w:tc>
        <w:tc>
          <w:tcPr>
            <w:tcW w:w="11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90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0.9312985</w:t>
            </w:r>
          </w:p>
        </w:tc>
        <w:tc>
          <w:tcPr>
            <w:tcW w:w="1034"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1.028566</w:t>
            </w:r>
          </w:p>
        </w:tc>
      </w:tr>
      <w:tr w:rsidR="0032429A" w:rsidRPr="0032429A" w:rsidTr="0032429A">
        <w:trPr>
          <w:trHeight w:val="300"/>
        </w:trPr>
        <w:tc>
          <w:tcPr>
            <w:tcW w:w="248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lambda1</w:t>
            </w:r>
          </w:p>
        </w:tc>
        <w:tc>
          <w:tcPr>
            <w:tcW w:w="188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-0.4566249</w:t>
            </w:r>
          </w:p>
        </w:tc>
        <w:tc>
          <w:tcPr>
            <w:tcW w:w="1701"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0.0985025</w:t>
            </w:r>
          </w:p>
        </w:tc>
        <w:tc>
          <w:tcPr>
            <w:tcW w:w="11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90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09"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-0.6496863</w:t>
            </w:r>
          </w:p>
        </w:tc>
        <w:tc>
          <w:tcPr>
            <w:tcW w:w="1034"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-0.2635635</w:t>
            </w:r>
          </w:p>
        </w:tc>
      </w:tr>
      <w:tr w:rsidR="0032429A" w:rsidRPr="0032429A" w:rsidTr="0032429A">
        <w:trPr>
          <w:trHeight w:val="300"/>
        </w:trPr>
        <w:tc>
          <w:tcPr>
            <w:tcW w:w="8100" w:type="dxa"/>
            <w:gridSpan w:val="5"/>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Wald test of </w:t>
            </w:r>
            <w:proofErr w:type="spellStart"/>
            <w:r w:rsidRPr="0032429A">
              <w:rPr>
                <w:rFonts w:ascii="Calibri" w:eastAsia="Times New Roman" w:hAnsi="Calibri" w:cs="Times New Roman"/>
                <w:color w:val="000000"/>
                <w:sz w:val="16"/>
                <w:szCs w:val="16"/>
                <w:lang w:eastAsia="en-AU"/>
              </w:rPr>
              <w:t>indep</w:t>
            </w:r>
            <w:proofErr w:type="spellEnd"/>
            <w:r w:rsidRPr="0032429A">
              <w:rPr>
                <w:rFonts w:ascii="Calibri" w:eastAsia="Times New Roman" w:hAnsi="Calibri" w:cs="Times New Roman"/>
                <w:color w:val="000000"/>
                <w:sz w:val="16"/>
                <w:szCs w:val="16"/>
                <w:lang w:eastAsia="en-AU"/>
              </w:rPr>
              <w:t xml:space="preserve">. (rho0 = rho1 = 0): chi2(2) =   43.07  </w:t>
            </w:r>
            <w:proofErr w:type="spellStart"/>
            <w:r w:rsidRPr="0032429A">
              <w:rPr>
                <w:rFonts w:ascii="Calibri" w:eastAsia="Times New Roman" w:hAnsi="Calibri" w:cs="Times New Roman"/>
                <w:color w:val="000000"/>
                <w:sz w:val="16"/>
                <w:szCs w:val="16"/>
                <w:lang w:eastAsia="en-AU"/>
              </w:rPr>
              <w:t>Prob</w:t>
            </w:r>
            <w:proofErr w:type="spellEnd"/>
            <w:r w:rsidRPr="0032429A">
              <w:rPr>
                <w:rFonts w:ascii="Calibri" w:eastAsia="Times New Roman" w:hAnsi="Calibri" w:cs="Times New Roman"/>
                <w:color w:val="000000"/>
                <w:sz w:val="16"/>
                <w:szCs w:val="16"/>
                <w:lang w:eastAsia="en-AU"/>
              </w:rPr>
              <w:t xml:space="preserve"> &gt; chi2 = 0.0000</w:t>
            </w:r>
          </w:p>
        </w:tc>
        <w:tc>
          <w:tcPr>
            <w:tcW w:w="1109"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034"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bl>
    <w:p w:rsidR="0032429A" w:rsidRDefault="0032429A" w:rsidP="0032429A">
      <w:pPr>
        <w:rPr>
          <w:b/>
        </w:rPr>
      </w:pPr>
    </w:p>
    <w:p w:rsidR="0032429A" w:rsidRDefault="0032429A" w:rsidP="0032429A">
      <w:r>
        <w:t xml:space="preserve">Table A. 7 Results of Endogenous Treatment Regression Model – Collaborate Participation  </w:t>
      </w:r>
    </w:p>
    <w:tbl>
      <w:tblPr>
        <w:tblW w:w="9506" w:type="dxa"/>
        <w:tblLook w:val="04A0" w:firstRow="1" w:lastRow="0" w:firstColumn="1" w:lastColumn="0" w:noHBand="0" w:noVBand="1"/>
      </w:tblPr>
      <w:tblGrid>
        <w:gridCol w:w="3227"/>
        <w:gridCol w:w="1276"/>
        <w:gridCol w:w="1275"/>
        <w:gridCol w:w="742"/>
        <w:gridCol w:w="666"/>
        <w:gridCol w:w="1160"/>
        <w:gridCol w:w="1160"/>
      </w:tblGrid>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Robust</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Coef</w:t>
            </w:r>
            <w:proofErr w:type="spellEnd"/>
            <w:r w:rsidRPr="0032429A">
              <w:rPr>
                <w:rFonts w:ascii="Calibri" w:eastAsia="Times New Roman" w:hAnsi="Calibri" w:cs="Times New Roman"/>
                <w:color w:val="000000"/>
                <w:sz w:val="16"/>
                <w:szCs w:val="16"/>
                <w:lang w:eastAsia="en-AU"/>
              </w:rPr>
              <w:t>.</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Std. Err.</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z</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P&gt;z    </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 [95% Conf.</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Interval]</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Grade_Scale</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Commonn_mode</w:t>
            </w:r>
            <w:proofErr w:type="spellEnd"/>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Internal &amp; </w:t>
            </w:r>
            <w:proofErr w:type="spellStart"/>
            <w:r w:rsidRPr="0032429A">
              <w:rPr>
                <w:rFonts w:ascii="Calibri" w:eastAsia="Times New Roman" w:hAnsi="Calibri" w:cs="Times New Roman"/>
                <w:color w:val="000000"/>
                <w:sz w:val="16"/>
                <w:szCs w:val="16"/>
                <w:lang w:eastAsia="en-AU"/>
              </w:rPr>
              <w:t>Commonn_Unit</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0.388</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0.131</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2.960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0.003</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0.132</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0.645</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External &amp; Core</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-0.851</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0.180</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-4.730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-1.204</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-0.499</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External &amp; </w:t>
            </w:r>
            <w:proofErr w:type="spellStart"/>
            <w:r w:rsidRPr="0032429A">
              <w:rPr>
                <w:rFonts w:ascii="Calibri" w:eastAsia="Times New Roman" w:hAnsi="Calibri" w:cs="Times New Roman"/>
                <w:color w:val="000000"/>
                <w:sz w:val="16"/>
                <w:szCs w:val="16"/>
                <w:lang w:eastAsia="en-AU"/>
              </w:rPr>
              <w:t>Commonn</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-0.045</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0.166</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-0.270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0.786</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-0.371</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0.281</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Collaborate Participation </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1.354</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0.268</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5.050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0.828</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1.879</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Commonn_mode#collab_dich</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Internal &amp; Commonn_Unit#1</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-0.164</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0.175</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-0.940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0.347</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-0.507</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0.178</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External &amp; Core#1</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0.527</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0.216</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2.440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0.015</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0.104</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0.951</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External &amp; Commonn#1</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0.329</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0.239</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1.370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0.169</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-0.140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0.797</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Age</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0.001</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0.002</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0.360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0.718</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-0.004</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0.005</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Male</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-0.005</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0.044</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-0.120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0.904</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-0.092</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0.082</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Indigenous</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-0.201</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0.106</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-1.900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0.057</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-0.408</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0.006</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NESB</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-0.241</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0.062</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-3.870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-0.363</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-0.119</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BOA_HE_Course</w:t>
            </w:r>
            <w:proofErr w:type="spellEnd"/>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0.240</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0.047</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5.130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0.149</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0.332</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BOA_Mature_Age_Entry</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-0.130</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0.053</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-2.450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0.014</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-0.234</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-0.026</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BOA_TAFE_Award</w:t>
            </w:r>
            <w:proofErr w:type="spellEnd"/>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-0.087</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0.049</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-1.800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0.073</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-0.183</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0.008</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TER_Present</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0.179</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0.039</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4.610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0.103</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0.255</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_cons</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4.160</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0.178</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23.350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3.811</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4.510</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Collaborate Participation - Binary </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Commonn_mode</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lastRenderedPageBreak/>
              <w:t xml:space="preserve">Internal &amp; </w:t>
            </w:r>
            <w:proofErr w:type="spellStart"/>
            <w:r w:rsidRPr="0032429A">
              <w:rPr>
                <w:rFonts w:ascii="Calibri" w:eastAsia="Times New Roman" w:hAnsi="Calibri" w:cs="Times New Roman"/>
                <w:color w:val="000000"/>
                <w:sz w:val="16"/>
                <w:szCs w:val="16"/>
                <w:lang w:eastAsia="en-AU"/>
              </w:rPr>
              <w:t>Commonn_Unit</w:t>
            </w:r>
            <w:proofErr w:type="spellEnd"/>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0.552</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0.098</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5.660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0.361</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0.744</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External &amp; Core</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0.858</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0.085</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10.080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0.691</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1.025</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 xml:space="preserve">External &amp; </w:t>
            </w:r>
            <w:proofErr w:type="spellStart"/>
            <w:r w:rsidRPr="0032429A">
              <w:rPr>
                <w:rFonts w:ascii="Calibri" w:eastAsia="Times New Roman" w:hAnsi="Calibri" w:cs="Times New Roman"/>
                <w:color w:val="000000"/>
                <w:sz w:val="16"/>
                <w:szCs w:val="16"/>
                <w:lang w:eastAsia="en-AU"/>
              </w:rPr>
              <w:t>Commonn</w:t>
            </w:r>
            <w:proofErr w:type="spellEnd"/>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0.944</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0.090</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10.460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0.767</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1.121</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Age</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0.016</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0.003</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5.740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0.011</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0.022</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Male</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-0.148</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0.052</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-2.870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0.004</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-0.250</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-0.047</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Indigenous</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-0.333</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0.112</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-2.980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0.003</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-0.552</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-0.114</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NESB</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-0.067</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0.083</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-0.800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0.423</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-0.230</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0.097</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BOA_HE_Course</w:t>
            </w:r>
            <w:proofErr w:type="spellEnd"/>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-0.125</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0.061</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-2.050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-0.245</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-0.006</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BOA_Mature_Age_Entry</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0.037</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0.073</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0.500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0.618</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-0.107</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0.180</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BOA_Professional_Qual</w:t>
            </w:r>
            <w:proofErr w:type="spellEnd"/>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-0.084</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0.084</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-1.010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0.314</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-0.248</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0.080</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BOA_TAFE_Award</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0.049</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0.071</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0.690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0.488</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-0.090</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0.188</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BOA_Other_Basis</w:t>
            </w:r>
            <w:proofErr w:type="spellEnd"/>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0.084</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0.144</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0.580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0.559</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-0.198</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0.366</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proofErr w:type="spellStart"/>
            <w:r w:rsidRPr="0032429A">
              <w:rPr>
                <w:rFonts w:ascii="Calibri" w:eastAsia="Times New Roman" w:hAnsi="Calibri" w:cs="Times New Roman"/>
                <w:color w:val="000000"/>
                <w:sz w:val="16"/>
                <w:szCs w:val="16"/>
                <w:lang w:eastAsia="en-AU"/>
              </w:rPr>
              <w:t>TER_Present</w:t>
            </w:r>
            <w:proofErr w:type="spellEnd"/>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-0.021</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0.050</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-0.420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0.671</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-0.119</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0.077</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_cons</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-0.582</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0.109</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-5.340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-0.796</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-0.369</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/athrho0</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-0.894</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0.219</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-4.080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0.000</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-1.324</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-0.464</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/lnsigma0</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0.232</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0.086</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2.710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0.007</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0.064</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0.400</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/athrho1</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-0.762</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0.246</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-3.100</w:t>
            </w: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0.002</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-1.244</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-0.280</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/lnsigma1</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0.018</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0.056</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0.330</w:t>
            </w: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0.744</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-0.091</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0.128</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rho0</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-0.713</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0.108</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-0.868</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-0.433</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sigma0</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1.261</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0.108</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1.066</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1.491</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lambda0</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-0.900</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0.211</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-1.314</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-0.485</w:t>
            </w:r>
          </w:p>
        </w:tc>
      </w:tr>
      <w:tr w:rsidR="0032429A" w:rsidRPr="0032429A" w:rsidTr="0032429A">
        <w:trPr>
          <w:trHeight w:val="300"/>
        </w:trPr>
        <w:tc>
          <w:tcPr>
            <w:tcW w:w="3227"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rho1</w:t>
            </w:r>
          </w:p>
        </w:tc>
        <w:tc>
          <w:tcPr>
            <w:tcW w:w="127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-0.642</w:t>
            </w:r>
          </w:p>
        </w:tc>
        <w:tc>
          <w:tcPr>
            <w:tcW w:w="1275"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0.144</w:t>
            </w:r>
          </w:p>
        </w:tc>
        <w:tc>
          <w:tcPr>
            <w:tcW w:w="742"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666"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-0.847</w:t>
            </w:r>
          </w:p>
        </w:tc>
        <w:tc>
          <w:tcPr>
            <w:tcW w:w="1160" w:type="dxa"/>
            <w:tcBorders>
              <w:top w:val="nil"/>
              <w:left w:val="nil"/>
              <w:bottom w:val="nil"/>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-0.273</w:t>
            </w:r>
          </w:p>
        </w:tc>
      </w:tr>
      <w:tr w:rsidR="0032429A" w:rsidRPr="0032429A" w:rsidTr="0032429A">
        <w:trPr>
          <w:trHeight w:val="300"/>
        </w:trPr>
        <w:tc>
          <w:tcPr>
            <w:tcW w:w="3227"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sigma1</w:t>
            </w:r>
          </w:p>
        </w:tc>
        <w:tc>
          <w:tcPr>
            <w:tcW w:w="127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1.018</w:t>
            </w:r>
          </w:p>
        </w:tc>
        <w:tc>
          <w:tcPr>
            <w:tcW w:w="1275"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0.057</w:t>
            </w:r>
          </w:p>
        </w:tc>
        <w:tc>
          <w:tcPr>
            <w:tcW w:w="742"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666"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0.913</w:t>
            </w:r>
          </w:p>
        </w:tc>
        <w:tc>
          <w:tcPr>
            <w:tcW w:w="1160" w:type="dxa"/>
            <w:tcBorders>
              <w:top w:val="nil"/>
              <w:left w:val="nil"/>
              <w:bottom w:val="nil"/>
              <w:right w:val="nil"/>
            </w:tcBorders>
            <w:shd w:val="clear" w:color="D9D9D9" w:fill="D9D9D9"/>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1.136</w:t>
            </w:r>
          </w:p>
        </w:tc>
      </w:tr>
      <w:tr w:rsidR="0032429A" w:rsidRPr="0032429A" w:rsidTr="0032429A">
        <w:trPr>
          <w:trHeight w:val="300"/>
        </w:trPr>
        <w:tc>
          <w:tcPr>
            <w:tcW w:w="3227"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lambda1</w:t>
            </w:r>
          </w:p>
        </w:tc>
        <w:tc>
          <w:tcPr>
            <w:tcW w:w="1276"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-0.654</w:t>
            </w:r>
          </w:p>
        </w:tc>
        <w:tc>
          <w:tcPr>
            <w:tcW w:w="1275"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0.183</w:t>
            </w:r>
          </w:p>
        </w:tc>
        <w:tc>
          <w:tcPr>
            <w:tcW w:w="742"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p>
        </w:tc>
        <w:tc>
          <w:tcPr>
            <w:tcW w:w="666"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rPr>
                <w:rFonts w:ascii="Times New Roman" w:eastAsia="Times New Roman" w:hAnsi="Times New Roman" w:cs="Times New Roman"/>
                <w:sz w:val="16"/>
                <w:szCs w:val="16"/>
                <w:lang w:eastAsia="en-AU"/>
              </w:rPr>
            </w:pPr>
          </w:p>
        </w:tc>
        <w:tc>
          <w:tcPr>
            <w:tcW w:w="1160"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-1.013</w:t>
            </w:r>
          </w:p>
        </w:tc>
        <w:tc>
          <w:tcPr>
            <w:tcW w:w="1160" w:type="dxa"/>
            <w:tcBorders>
              <w:top w:val="nil"/>
              <w:left w:val="nil"/>
              <w:bottom w:val="single" w:sz="4" w:space="0" w:color="000000"/>
              <w:right w:val="nil"/>
            </w:tcBorders>
            <w:shd w:val="clear" w:color="auto" w:fill="auto"/>
            <w:noWrap/>
            <w:vAlign w:val="bottom"/>
            <w:hideMark/>
          </w:tcPr>
          <w:p w:rsidR="0032429A" w:rsidRPr="0032429A" w:rsidRDefault="0032429A" w:rsidP="0032429A">
            <w:pPr>
              <w:spacing w:after="0" w:line="240" w:lineRule="auto"/>
              <w:jc w:val="right"/>
              <w:rPr>
                <w:rFonts w:ascii="Calibri" w:eastAsia="Times New Roman" w:hAnsi="Calibri" w:cs="Times New Roman"/>
                <w:color w:val="000000"/>
                <w:sz w:val="16"/>
                <w:szCs w:val="16"/>
                <w:lang w:eastAsia="en-AU"/>
              </w:rPr>
            </w:pPr>
            <w:r w:rsidRPr="0032429A">
              <w:rPr>
                <w:rFonts w:ascii="Calibri" w:eastAsia="Times New Roman" w:hAnsi="Calibri" w:cs="Times New Roman"/>
                <w:color w:val="000000"/>
                <w:sz w:val="16"/>
                <w:szCs w:val="16"/>
                <w:lang w:eastAsia="en-AU"/>
              </w:rPr>
              <w:t>-0.296</w:t>
            </w:r>
          </w:p>
        </w:tc>
      </w:tr>
    </w:tbl>
    <w:p w:rsidR="0032429A" w:rsidRDefault="0032429A" w:rsidP="0032429A">
      <w:pPr>
        <w:rPr>
          <w:b/>
        </w:rPr>
      </w:pPr>
    </w:p>
    <w:p w:rsidR="0032429A" w:rsidRDefault="0032429A" w:rsidP="0032429A">
      <w:r>
        <w:t>Table A. 8 Summary Table of Online Activity/Participation Effects by Predictive Method:</w:t>
      </w:r>
      <w:r>
        <w:br/>
      </w:r>
      <w:proofErr w:type="spellStart"/>
      <w:r>
        <w:t>Learnline</w:t>
      </w:r>
      <w:proofErr w:type="spellEnd"/>
      <w:r>
        <w:t xml:space="preserve"> and Collaborate Samples</w:t>
      </w:r>
    </w:p>
    <w:tbl>
      <w:tblPr>
        <w:tblW w:w="10740" w:type="dxa"/>
        <w:tblLook w:val="04A0" w:firstRow="1" w:lastRow="0" w:firstColumn="1" w:lastColumn="0" w:noHBand="0" w:noVBand="1"/>
      </w:tblPr>
      <w:tblGrid>
        <w:gridCol w:w="3369"/>
        <w:gridCol w:w="992"/>
        <w:gridCol w:w="1701"/>
        <w:gridCol w:w="1134"/>
        <w:gridCol w:w="992"/>
        <w:gridCol w:w="1276"/>
        <w:gridCol w:w="1276"/>
      </w:tblGrid>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Predictive Model &amp; Activity Level</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Margin</w:t>
            </w: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Std. Err.</w:t>
            </w: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z</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P&gt;z</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[95% Conf.</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Interval]</w:t>
            </w: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2835" w:type="dxa"/>
            <w:gridSpan w:val="2"/>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proofErr w:type="spellStart"/>
            <w:r w:rsidRPr="0087013E">
              <w:rPr>
                <w:rFonts w:ascii="Calibri" w:eastAsia="Times New Roman" w:hAnsi="Calibri" w:cs="Times New Roman"/>
                <w:color w:val="000000"/>
                <w:lang w:eastAsia="en-AU"/>
              </w:rPr>
              <w:t>Learnline</w:t>
            </w:r>
            <w:proofErr w:type="spellEnd"/>
            <w:r w:rsidRPr="0087013E">
              <w:rPr>
                <w:rFonts w:ascii="Calibri" w:eastAsia="Times New Roman" w:hAnsi="Calibri" w:cs="Times New Roman"/>
                <w:color w:val="000000"/>
                <w:lang w:eastAsia="en-AU"/>
              </w:rPr>
              <w:t xml:space="preserve"> Activity Effect</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Bivariate</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Lower Activity ("Untreated")</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4.665</w:t>
            </w:r>
          </w:p>
        </w:tc>
        <w:tc>
          <w:tcPr>
            <w:tcW w:w="1701"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0.018</w:t>
            </w:r>
          </w:p>
        </w:tc>
        <w:tc>
          <w:tcPr>
            <w:tcW w:w="1134"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252.410</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4.629</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4.702</w:t>
            </w: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Higher Activity ("Treated")</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5.265</w:t>
            </w: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0.013</w:t>
            </w: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401.560</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5.239</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5.291</w:t>
            </w: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Multivariate</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p>
        </w:tc>
        <w:tc>
          <w:tcPr>
            <w:tcW w:w="1701"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Lower Activity ("Untreated")</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4.738</w:t>
            </w: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0.019</w:t>
            </w: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251.800</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4.701</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4.775</w:t>
            </w: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Higher Activity ("Treated")</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5.230</w:t>
            </w:r>
          </w:p>
        </w:tc>
        <w:tc>
          <w:tcPr>
            <w:tcW w:w="1701"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0.013</w:t>
            </w:r>
          </w:p>
        </w:tc>
        <w:tc>
          <w:tcPr>
            <w:tcW w:w="1134"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401.590</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5.204</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5.255</w:t>
            </w: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Potential Means/ Counterfactual</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Lower Activity ("Untreated")</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3.974</w:t>
            </w:r>
          </w:p>
        </w:tc>
        <w:tc>
          <w:tcPr>
            <w:tcW w:w="1701"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0.122</w:t>
            </w:r>
          </w:p>
        </w:tc>
        <w:tc>
          <w:tcPr>
            <w:tcW w:w="1134"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32.560</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3.734</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4.213</w:t>
            </w: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Higher Activity ("Treated")</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5.485</w:t>
            </w: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0.057</w:t>
            </w: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96.220</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5.373</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5.597</w:t>
            </w: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3827" w:type="dxa"/>
            <w:gridSpan w:val="3"/>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Collaborate Participation Effect</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Bivariate</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 xml:space="preserve">Lower </w:t>
            </w:r>
            <w:proofErr w:type="spellStart"/>
            <w:r w:rsidRPr="0087013E">
              <w:rPr>
                <w:rFonts w:ascii="Calibri" w:eastAsia="Times New Roman" w:hAnsi="Calibri" w:cs="Times New Roman"/>
                <w:i/>
                <w:iCs/>
                <w:color w:val="000000"/>
                <w:lang w:eastAsia="en-AU"/>
              </w:rPr>
              <w:t>Learnline</w:t>
            </w:r>
            <w:proofErr w:type="spellEnd"/>
            <w:r w:rsidRPr="0087013E">
              <w:rPr>
                <w:rFonts w:ascii="Calibri" w:eastAsia="Times New Roman" w:hAnsi="Calibri" w:cs="Times New Roman"/>
                <w:i/>
                <w:iCs/>
                <w:color w:val="000000"/>
                <w:lang w:eastAsia="en-AU"/>
              </w:rPr>
              <w:t xml:space="preserve"> Activity </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5.045</w:t>
            </w:r>
          </w:p>
        </w:tc>
        <w:tc>
          <w:tcPr>
            <w:tcW w:w="1701"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0.033</w:t>
            </w:r>
          </w:p>
        </w:tc>
        <w:tc>
          <w:tcPr>
            <w:tcW w:w="1134"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153.850</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4.980</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5.109</w:t>
            </w: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 xml:space="preserve">Higher </w:t>
            </w:r>
            <w:proofErr w:type="spellStart"/>
            <w:r w:rsidRPr="0087013E">
              <w:rPr>
                <w:rFonts w:ascii="Calibri" w:eastAsia="Times New Roman" w:hAnsi="Calibri" w:cs="Times New Roman"/>
                <w:i/>
                <w:iCs/>
                <w:color w:val="000000"/>
                <w:lang w:eastAsia="en-AU"/>
              </w:rPr>
              <w:t>Learnline</w:t>
            </w:r>
            <w:proofErr w:type="spellEnd"/>
            <w:r w:rsidRPr="0087013E">
              <w:rPr>
                <w:rFonts w:ascii="Calibri" w:eastAsia="Times New Roman" w:hAnsi="Calibri" w:cs="Times New Roman"/>
                <w:i/>
                <w:iCs/>
                <w:color w:val="000000"/>
                <w:lang w:eastAsia="en-AU"/>
              </w:rPr>
              <w:t xml:space="preserve"> Activity</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5.394</w:t>
            </w: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0.019</w:t>
            </w: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290.400</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5.358</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5.430</w:t>
            </w: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lastRenderedPageBreak/>
              <w:t>Multivariate</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p>
        </w:tc>
        <w:tc>
          <w:tcPr>
            <w:tcW w:w="1701"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 xml:space="preserve">Lower </w:t>
            </w:r>
            <w:proofErr w:type="spellStart"/>
            <w:r w:rsidRPr="0087013E">
              <w:rPr>
                <w:rFonts w:ascii="Calibri" w:eastAsia="Times New Roman" w:hAnsi="Calibri" w:cs="Times New Roman"/>
                <w:i/>
                <w:iCs/>
                <w:color w:val="000000"/>
                <w:lang w:eastAsia="en-AU"/>
              </w:rPr>
              <w:t>Learnline</w:t>
            </w:r>
            <w:proofErr w:type="spellEnd"/>
            <w:r w:rsidRPr="0087013E">
              <w:rPr>
                <w:rFonts w:ascii="Calibri" w:eastAsia="Times New Roman" w:hAnsi="Calibri" w:cs="Times New Roman"/>
                <w:i/>
                <w:iCs/>
                <w:color w:val="000000"/>
                <w:lang w:eastAsia="en-AU"/>
              </w:rPr>
              <w:t xml:space="preserve"> Activity </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5.103</w:t>
            </w: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0.032</w:t>
            </w: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159.170</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5.040</w:t>
            </w: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5.166</w:t>
            </w: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 xml:space="preserve">Higher </w:t>
            </w:r>
            <w:proofErr w:type="spellStart"/>
            <w:r w:rsidRPr="0087013E">
              <w:rPr>
                <w:rFonts w:ascii="Calibri" w:eastAsia="Times New Roman" w:hAnsi="Calibri" w:cs="Times New Roman"/>
                <w:color w:val="000000"/>
                <w:lang w:eastAsia="en-AU"/>
              </w:rPr>
              <w:t>Learnline</w:t>
            </w:r>
            <w:proofErr w:type="spellEnd"/>
            <w:r w:rsidRPr="0087013E">
              <w:rPr>
                <w:rFonts w:ascii="Calibri" w:eastAsia="Times New Roman" w:hAnsi="Calibri" w:cs="Times New Roman"/>
                <w:color w:val="000000"/>
                <w:lang w:eastAsia="en-AU"/>
              </w:rPr>
              <w:t xml:space="preserve"> Activity</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5.360</w:t>
            </w:r>
          </w:p>
        </w:tc>
        <w:tc>
          <w:tcPr>
            <w:tcW w:w="1701"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0.019</w:t>
            </w:r>
          </w:p>
        </w:tc>
        <w:tc>
          <w:tcPr>
            <w:tcW w:w="1134"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280.480</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5.323</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5.398</w:t>
            </w:r>
          </w:p>
        </w:tc>
      </w:tr>
      <w:tr w:rsidR="0032429A" w:rsidRPr="0087013E" w:rsidTr="007565DD">
        <w:trPr>
          <w:trHeight w:val="300"/>
        </w:trPr>
        <w:tc>
          <w:tcPr>
            <w:tcW w:w="3369"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Potential Means/ Counterfactual</w:t>
            </w: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b/>
                <w:bCs/>
                <w:color w:val="000000"/>
                <w:lang w:eastAsia="en-AU"/>
              </w:rPr>
            </w:pPr>
          </w:p>
        </w:tc>
        <w:tc>
          <w:tcPr>
            <w:tcW w:w="1701"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D9D9D9" w:fill="D9D9D9"/>
            <w:noWrap/>
            <w:vAlign w:val="bottom"/>
            <w:hideMark/>
          </w:tcPr>
          <w:p w:rsidR="0032429A" w:rsidRPr="0087013E" w:rsidRDefault="0032429A" w:rsidP="0032429A">
            <w:pPr>
              <w:spacing w:after="0" w:line="240" w:lineRule="auto"/>
              <w:rPr>
                <w:rFonts w:ascii="Times New Roman" w:eastAsia="Times New Roman" w:hAnsi="Times New Roman" w:cs="Times New Roman"/>
                <w:sz w:val="20"/>
                <w:szCs w:val="20"/>
                <w:lang w:eastAsia="en-AU"/>
              </w:rPr>
            </w:pPr>
          </w:p>
        </w:tc>
      </w:tr>
      <w:tr w:rsidR="0032429A" w:rsidRPr="0087013E" w:rsidTr="007565DD">
        <w:trPr>
          <w:trHeight w:val="300"/>
        </w:trPr>
        <w:tc>
          <w:tcPr>
            <w:tcW w:w="3369"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Lower Collaborate Participation</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3.993</w:t>
            </w:r>
          </w:p>
        </w:tc>
        <w:tc>
          <w:tcPr>
            <w:tcW w:w="1701"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0.265</w:t>
            </w:r>
          </w:p>
        </w:tc>
        <w:tc>
          <w:tcPr>
            <w:tcW w:w="1134"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15.100</w:t>
            </w:r>
          </w:p>
        </w:tc>
        <w:tc>
          <w:tcPr>
            <w:tcW w:w="992"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3.475</w:t>
            </w:r>
          </w:p>
        </w:tc>
        <w:tc>
          <w:tcPr>
            <w:tcW w:w="1276" w:type="dxa"/>
            <w:tcBorders>
              <w:top w:val="nil"/>
              <w:left w:val="nil"/>
              <w:bottom w:val="nil"/>
              <w:right w:val="nil"/>
            </w:tcBorders>
            <w:shd w:val="clear" w:color="auto" w:fill="auto"/>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4.511</w:t>
            </w:r>
          </w:p>
        </w:tc>
      </w:tr>
      <w:tr w:rsidR="0032429A" w:rsidRPr="0087013E" w:rsidTr="007565DD">
        <w:trPr>
          <w:trHeight w:val="300"/>
        </w:trPr>
        <w:tc>
          <w:tcPr>
            <w:tcW w:w="3369" w:type="dxa"/>
            <w:tcBorders>
              <w:top w:val="nil"/>
              <w:left w:val="nil"/>
              <w:bottom w:val="single" w:sz="4" w:space="0" w:color="000000"/>
              <w:right w:val="nil"/>
            </w:tcBorders>
            <w:shd w:val="clear" w:color="D9D9D9" w:fill="D9D9D9"/>
            <w:noWrap/>
            <w:vAlign w:val="bottom"/>
            <w:hideMark/>
          </w:tcPr>
          <w:p w:rsidR="0032429A" w:rsidRPr="0087013E" w:rsidRDefault="0032429A" w:rsidP="0032429A">
            <w:pPr>
              <w:spacing w:after="0" w:line="240" w:lineRule="auto"/>
              <w:rPr>
                <w:rFonts w:ascii="Calibri" w:eastAsia="Times New Roman" w:hAnsi="Calibri" w:cs="Times New Roman"/>
                <w:i/>
                <w:iCs/>
                <w:color w:val="000000"/>
                <w:lang w:eastAsia="en-AU"/>
              </w:rPr>
            </w:pPr>
            <w:r w:rsidRPr="0087013E">
              <w:rPr>
                <w:rFonts w:ascii="Calibri" w:eastAsia="Times New Roman" w:hAnsi="Calibri" w:cs="Times New Roman"/>
                <w:i/>
                <w:iCs/>
                <w:color w:val="000000"/>
                <w:lang w:eastAsia="en-AU"/>
              </w:rPr>
              <w:t>Higher Collaborate Participation</w:t>
            </w:r>
          </w:p>
        </w:tc>
        <w:tc>
          <w:tcPr>
            <w:tcW w:w="992" w:type="dxa"/>
            <w:tcBorders>
              <w:top w:val="nil"/>
              <w:left w:val="nil"/>
              <w:bottom w:val="single" w:sz="4" w:space="0" w:color="000000"/>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b/>
                <w:bCs/>
                <w:color w:val="000000"/>
                <w:lang w:eastAsia="en-AU"/>
              </w:rPr>
            </w:pPr>
            <w:r w:rsidRPr="0087013E">
              <w:rPr>
                <w:rFonts w:ascii="Calibri" w:eastAsia="Times New Roman" w:hAnsi="Calibri" w:cs="Times New Roman"/>
                <w:b/>
                <w:bCs/>
                <w:color w:val="000000"/>
                <w:lang w:eastAsia="en-AU"/>
              </w:rPr>
              <w:t>5.666</w:t>
            </w:r>
          </w:p>
        </w:tc>
        <w:tc>
          <w:tcPr>
            <w:tcW w:w="1701" w:type="dxa"/>
            <w:tcBorders>
              <w:top w:val="nil"/>
              <w:left w:val="nil"/>
              <w:bottom w:val="single" w:sz="4" w:space="0" w:color="000000"/>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0.091</w:t>
            </w:r>
          </w:p>
        </w:tc>
        <w:tc>
          <w:tcPr>
            <w:tcW w:w="1134" w:type="dxa"/>
            <w:tcBorders>
              <w:top w:val="nil"/>
              <w:left w:val="nil"/>
              <w:bottom w:val="single" w:sz="4" w:space="0" w:color="000000"/>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62.170</w:t>
            </w:r>
          </w:p>
        </w:tc>
        <w:tc>
          <w:tcPr>
            <w:tcW w:w="992" w:type="dxa"/>
            <w:tcBorders>
              <w:top w:val="nil"/>
              <w:left w:val="nil"/>
              <w:bottom w:val="single" w:sz="4" w:space="0" w:color="000000"/>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0.000</w:t>
            </w:r>
          </w:p>
        </w:tc>
        <w:tc>
          <w:tcPr>
            <w:tcW w:w="1276" w:type="dxa"/>
            <w:tcBorders>
              <w:top w:val="nil"/>
              <w:left w:val="nil"/>
              <w:bottom w:val="single" w:sz="4" w:space="0" w:color="000000"/>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5.487</w:t>
            </w:r>
          </w:p>
        </w:tc>
        <w:tc>
          <w:tcPr>
            <w:tcW w:w="1276" w:type="dxa"/>
            <w:tcBorders>
              <w:top w:val="nil"/>
              <w:left w:val="nil"/>
              <w:bottom w:val="single" w:sz="4" w:space="0" w:color="000000"/>
              <w:right w:val="nil"/>
            </w:tcBorders>
            <w:shd w:val="clear" w:color="D9D9D9" w:fill="D9D9D9"/>
            <w:noWrap/>
            <w:vAlign w:val="bottom"/>
            <w:hideMark/>
          </w:tcPr>
          <w:p w:rsidR="0032429A" w:rsidRPr="0087013E" w:rsidRDefault="0032429A" w:rsidP="0032429A">
            <w:pPr>
              <w:spacing w:after="0" w:line="240" w:lineRule="auto"/>
              <w:jc w:val="right"/>
              <w:rPr>
                <w:rFonts w:ascii="Calibri" w:eastAsia="Times New Roman" w:hAnsi="Calibri" w:cs="Times New Roman"/>
                <w:color w:val="000000"/>
                <w:lang w:eastAsia="en-AU"/>
              </w:rPr>
            </w:pPr>
            <w:r w:rsidRPr="0087013E">
              <w:rPr>
                <w:rFonts w:ascii="Calibri" w:eastAsia="Times New Roman" w:hAnsi="Calibri" w:cs="Times New Roman"/>
                <w:color w:val="000000"/>
                <w:lang w:eastAsia="en-AU"/>
              </w:rPr>
              <w:t>5.844</w:t>
            </w:r>
          </w:p>
        </w:tc>
      </w:tr>
    </w:tbl>
    <w:p w:rsidR="0032429A" w:rsidRDefault="0032429A" w:rsidP="0032429A">
      <w:pPr>
        <w:rPr>
          <w:b/>
        </w:rPr>
      </w:pPr>
    </w:p>
    <w:p w:rsidR="0032429A" w:rsidRDefault="0032429A" w:rsidP="0032429A">
      <w:pPr>
        <w:rPr>
          <w:b/>
        </w:rPr>
      </w:pPr>
    </w:p>
    <w:p w:rsidR="0032429A" w:rsidRDefault="0032429A" w:rsidP="007565DD">
      <w:r>
        <w:t xml:space="preserve">Appendix B. Tables B.1 &amp; B.2  </w:t>
      </w:r>
    </w:p>
    <w:p w:rsidR="0032429A" w:rsidRDefault="0032429A" w:rsidP="007565DD">
      <w:r>
        <w:t xml:space="preserve">Table B.1 </w:t>
      </w:r>
      <w:proofErr w:type="spellStart"/>
      <w:r>
        <w:t>Learnline</w:t>
      </w:r>
      <w:proofErr w:type="spellEnd"/>
      <w:r>
        <w:t xml:space="preserve"> Sample: </w:t>
      </w:r>
      <w:proofErr w:type="spellStart"/>
      <w:r>
        <w:t>Crosstabulation</w:t>
      </w:r>
      <w:proofErr w:type="spellEnd"/>
      <w:r>
        <w:t xml:space="preserve"> of Grade Score by Treatment Score and Ped. Context</w:t>
      </w:r>
    </w:p>
    <w:tbl>
      <w:tblPr>
        <w:tblW w:w="8791" w:type="dxa"/>
        <w:tblInd w:w="707" w:type="dxa"/>
        <w:tblLook w:val="04A0" w:firstRow="1" w:lastRow="0" w:firstColumn="1" w:lastColumn="0" w:noHBand="0" w:noVBand="1"/>
      </w:tblPr>
      <w:tblGrid>
        <w:gridCol w:w="3018"/>
        <w:gridCol w:w="1525"/>
        <w:gridCol w:w="945"/>
        <w:gridCol w:w="936"/>
        <w:gridCol w:w="1233"/>
        <w:gridCol w:w="1134"/>
      </w:tblGrid>
      <w:tr w:rsidR="0032429A" w:rsidRPr="001F6686" w:rsidTr="0032429A">
        <w:trPr>
          <w:trHeight w:val="300"/>
        </w:trPr>
        <w:tc>
          <w:tcPr>
            <w:tcW w:w="7657" w:type="dxa"/>
            <w:gridSpan w:val="5"/>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b/>
                <w:bCs/>
                <w:color w:val="000000"/>
                <w:lang w:eastAsia="en-AU"/>
              </w:rPr>
            </w:pPr>
            <w:r w:rsidRPr="001F6686">
              <w:rPr>
                <w:rFonts w:ascii="Calibri" w:eastAsia="Times New Roman" w:hAnsi="Calibri" w:cs="Times New Roman"/>
                <w:b/>
                <w:bCs/>
                <w:color w:val="000000"/>
                <w:lang w:eastAsia="en-AU"/>
              </w:rPr>
              <w:t xml:space="preserve">Treated </w:t>
            </w:r>
            <w:proofErr w:type="spellStart"/>
            <w:r w:rsidRPr="001F6686">
              <w:rPr>
                <w:rFonts w:ascii="Calibri" w:eastAsia="Times New Roman" w:hAnsi="Calibri" w:cs="Times New Roman"/>
                <w:b/>
                <w:bCs/>
                <w:color w:val="000000"/>
                <w:lang w:eastAsia="en-AU"/>
              </w:rPr>
              <w:t>Learnline</w:t>
            </w:r>
            <w:proofErr w:type="spellEnd"/>
            <w:r w:rsidRPr="001F6686">
              <w:rPr>
                <w:rFonts w:ascii="Calibri" w:eastAsia="Times New Roman" w:hAnsi="Calibri" w:cs="Times New Roman"/>
                <w:b/>
                <w:bCs/>
                <w:color w:val="000000"/>
                <w:lang w:eastAsia="en-AU"/>
              </w:rPr>
              <w:t xml:space="preserve"> Sample:  G</w:t>
            </w:r>
            <w:r>
              <w:rPr>
                <w:rFonts w:ascii="Calibri" w:eastAsia="Times New Roman" w:hAnsi="Calibri" w:cs="Times New Roman"/>
                <w:b/>
                <w:bCs/>
                <w:color w:val="000000"/>
                <w:lang w:eastAsia="en-AU"/>
              </w:rPr>
              <w:t xml:space="preserve">rade Score by Mode of Attendance </w:t>
            </w:r>
            <w:r w:rsidRPr="001F6686">
              <w:rPr>
                <w:rFonts w:ascii="Calibri" w:eastAsia="Times New Roman" w:hAnsi="Calibri" w:cs="Times New Roman"/>
                <w:b/>
                <w:bCs/>
                <w:color w:val="000000"/>
                <w:lang w:eastAsia="en-AU"/>
              </w:rPr>
              <w:t xml:space="preserve"> and Unit</w:t>
            </w:r>
            <w:r>
              <w:rPr>
                <w:rFonts w:ascii="Calibri" w:eastAsia="Times New Roman" w:hAnsi="Calibri" w:cs="Times New Roman"/>
                <w:b/>
                <w:bCs/>
                <w:color w:val="000000"/>
                <w:lang w:eastAsia="en-AU"/>
              </w:rPr>
              <w:t xml:space="preserve"> Type </w:t>
            </w:r>
          </w:p>
        </w:tc>
        <w:tc>
          <w:tcPr>
            <w:tcW w:w="1134"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b/>
                <w:bCs/>
                <w:color w:val="000000"/>
                <w:lang w:eastAsia="en-AU"/>
              </w:rPr>
            </w:pPr>
          </w:p>
        </w:tc>
      </w:tr>
      <w:tr w:rsidR="0032429A" w:rsidRPr="001F6686" w:rsidTr="0032429A">
        <w:trPr>
          <w:trHeight w:val="300"/>
        </w:trPr>
        <w:tc>
          <w:tcPr>
            <w:tcW w:w="3018"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Common</w:t>
            </w:r>
            <w:r w:rsidRPr="001F6686">
              <w:rPr>
                <w:rFonts w:ascii="Calibri" w:eastAsia="Times New Roman" w:hAnsi="Calibri" w:cs="Times New Roman"/>
                <w:color w:val="000000"/>
                <w:lang w:eastAsia="en-AU"/>
              </w:rPr>
              <w:t>n_mode</w:t>
            </w:r>
            <w:proofErr w:type="spellEnd"/>
          </w:p>
        </w:tc>
        <w:tc>
          <w:tcPr>
            <w:tcW w:w="152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N</w:t>
            </w:r>
          </w:p>
        </w:tc>
        <w:tc>
          <w:tcPr>
            <w:tcW w:w="94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mean</w:t>
            </w:r>
          </w:p>
        </w:tc>
        <w:tc>
          <w:tcPr>
            <w:tcW w:w="936"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proofErr w:type="spellStart"/>
            <w:r w:rsidRPr="001F6686">
              <w:rPr>
                <w:rFonts w:ascii="Calibri" w:eastAsia="Times New Roman" w:hAnsi="Calibri" w:cs="Times New Roman"/>
                <w:color w:val="000000"/>
                <w:lang w:eastAsia="en-AU"/>
              </w:rPr>
              <w:t>sd</w:t>
            </w:r>
            <w:proofErr w:type="spellEnd"/>
          </w:p>
        </w:tc>
        <w:tc>
          <w:tcPr>
            <w:tcW w:w="1233"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se</w:t>
            </w:r>
          </w:p>
        </w:tc>
        <w:tc>
          <w:tcPr>
            <w:tcW w:w="1134"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p50</w:t>
            </w:r>
          </w:p>
        </w:tc>
      </w:tr>
      <w:tr w:rsidR="0032429A" w:rsidRPr="001F6686" w:rsidTr="0032429A">
        <w:trPr>
          <w:trHeight w:val="300"/>
        </w:trPr>
        <w:tc>
          <w:tcPr>
            <w:tcW w:w="3018"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Internal &amp; Core</w:t>
            </w:r>
          </w:p>
        </w:tc>
        <w:tc>
          <w:tcPr>
            <w:tcW w:w="152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1041.000</w:t>
            </w:r>
          </w:p>
        </w:tc>
        <w:tc>
          <w:tcPr>
            <w:tcW w:w="94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4.839</w:t>
            </w:r>
          </w:p>
        </w:tc>
        <w:tc>
          <w:tcPr>
            <w:tcW w:w="936"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1.066</w:t>
            </w:r>
          </w:p>
        </w:tc>
        <w:tc>
          <w:tcPr>
            <w:tcW w:w="1233"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0.033</w:t>
            </w:r>
          </w:p>
        </w:tc>
        <w:tc>
          <w:tcPr>
            <w:tcW w:w="1134"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5.000</w:t>
            </w:r>
          </w:p>
        </w:tc>
      </w:tr>
      <w:tr w:rsidR="0032429A" w:rsidRPr="001F6686" w:rsidTr="0032429A">
        <w:trPr>
          <w:trHeight w:val="300"/>
        </w:trPr>
        <w:tc>
          <w:tcPr>
            <w:tcW w:w="3018"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 xml:space="preserve">Internal &amp; </w:t>
            </w:r>
            <w:r>
              <w:rPr>
                <w:rFonts w:ascii="Calibri" w:eastAsia="Times New Roman" w:hAnsi="Calibri" w:cs="Times New Roman"/>
                <w:color w:val="000000"/>
                <w:lang w:eastAsia="en-AU"/>
              </w:rPr>
              <w:t>Common</w:t>
            </w:r>
          </w:p>
        </w:tc>
        <w:tc>
          <w:tcPr>
            <w:tcW w:w="152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1180.000</w:t>
            </w:r>
          </w:p>
        </w:tc>
        <w:tc>
          <w:tcPr>
            <w:tcW w:w="94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5.203</w:t>
            </w:r>
          </w:p>
        </w:tc>
        <w:tc>
          <w:tcPr>
            <w:tcW w:w="936"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0.919</w:t>
            </w:r>
          </w:p>
        </w:tc>
        <w:tc>
          <w:tcPr>
            <w:tcW w:w="1233"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0.027</w:t>
            </w:r>
          </w:p>
        </w:tc>
        <w:tc>
          <w:tcPr>
            <w:tcW w:w="1134"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5.000</w:t>
            </w:r>
          </w:p>
        </w:tc>
      </w:tr>
      <w:tr w:rsidR="0032429A" w:rsidRPr="001F6686" w:rsidTr="0032429A">
        <w:trPr>
          <w:trHeight w:val="300"/>
        </w:trPr>
        <w:tc>
          <w:tcPr>
            <w:tcW w:w="3018"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External &amp; Core</w:t>
            </w:r>
          </w:p>
        </w:tc>
        <w:tc>
          <w:tcPr>
            <w:tcW w:w="152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1541.000</w:t>
            </w:r>
          </w:p>
        </w:tc>
        <w:tc>
          <w:tcPr>
            <w:tcW w:w="94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5.099</w:t>
            </w:r>
          </w:p>
        </w:tc>
        <w:tc>
          <w:tcPr>
            <w:tcW w:w="936"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1.082</w:t>
            </w:r>
          </w:p>
        </w:tc>
        <w:tc>
          <w:tcPr>
            <w:tcW w:w="1233"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0.028</w:t>
            </w:r>
          </w:p>
        </w:tc>
        <w:tc>
          <w:tcPr>
            <w:tcW w:w="1134"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5.000</w:t>
            </w:r>
          </w:p>
        </w:tc>
      </w:tr>
      <w:tr w:rsidR="0032429A" w:rsidRPr="001F6686" w:rsidTr="0032429A">
        <w:trPr>
          <w:trHeight w:val="300"/>
        </w:trPr>
        <w:tc>
          <w:tcPr>
            <w:tcW w:w="3018"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 xml:space="preserve">External &amp; </w:t>
            </w:r>
            <w:r>
              <w:rPr>
                <w:rFonts w:ascii="Calibri" w:eastAsia="Times New Roman" w:hAnsi="Calibri" w:cs="Times New Roman"/>
                <w:color w:val="000000"/>
                <w:lang w:eastAsia="en-AU"/>
              </w:rPr>
              <w:t>Common</w:t>
            </w:r>
          </w:p>
        </w:tc>
        <w:tc>
          <w:tcPr>
            <w:tcW w:w="152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2235.000</w:t>
            </w:r>
          </w:p>
        </w:tc>
        <w:tc>
          <w:tcPr>
            <w:tcW w:w="94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5.611</w:t>
            </w:r>
          </w:p>
        </w:tc>
        <w:tc>
          <w:tcPr>
            <w:tcW w:w="936"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0.803</w:t>
            </w:r>
          </w:p>
        </w:tc>
        <w:tc>
          <w:tcPr>
            <w:tcW w:w="1233"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0.017</w:t>
            </w:r>
          </w:p>
        </w:tc>
        <w:tc>
          <w:tcPr>
            <w:tcW w:w="1134"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6.000</w:t>
            </w:r>
          </w:p>
        </w:tc>
      </w:tr>
      <w:tr w:rsidR="0032429A" w:rsidRPr="001F6686" w:rsidTr="0032429A">
        <w:trPr>
          <w:trHeight w:val="300"/>
        </w:trPr>
        <w:tc>
          <w:tcPr>
            <w:tcW w:w="3018"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Total</w:t>
            </w:r>
          </w:p>
        </w:tc>
        <w:tc>
          <w:tcPr>
            <w:tcW w:w="152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5997.000</w:t>
            </w:r>
          </w:p>
        </w:tc>
        <w:tc>
          <w:tcPr>
            <w:tcW w:w="94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5.265</w:t>
            </w:r>
          </w:p>
        </w:tc>
        <w:tc>
          <w:tcPr>
            <w:tcW w:w="936"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0.994</w:t>
            </w:r>
          </w:p>
        </w:tc>
        <w:tc>
          <w:tcPr>
            <w:tcW w:w="1233"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0.013</w:t>
            </w:r>
          </w:p>
        </w:tc>
        <w:tc>
          <w:tcPr>
            <w:tcW w:w="1134"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5.000</w:t>
            </w:r>
          </w:p>
        </w:tc>
      </w:tr>
      <w:tr w:rsidR="0032429A" w:rsidRPr="001F6686" w:rsidTr="0032429A">
        <w:trPr>
          <w:trHeight w:val="300"/>
        </w:trPr>
        <w:tc>
          <w:tcPr>
            <w:tcW w:w="8791" w:type="dxa"/>
            <w:gridSpan w:val="6"/>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b/>
                <w:bCs/>
                <w:color w:val="000000"/>
                <w:lang w:eastAsia="en-AU"/>
              </w:rPr>
            </w:pPr>
            <w:r w:rsidRPr="001F6686">
              <w:rPr>
                <w:rFonts w:ascii="Calibri" w:eastAsia="Times New Roman" w:hAnsi="Calibri" w:cs="Times New Roman"/>
                <w:b/>
                <w:bCs/>
                <w:color w:val="000000"/>
                <w:lang w:eastAsia="en-AU"/>
              </w:rPr>
              <w:t xml:space="preserve">Untreated </w:t>
            </w:r>
            <w:proofErr w:type="spellStart"/>
            <w:r w:rsidRPr="001F6686">
              <w:rPr>
                <w:rFonts w:ascii="Calibri" w:eastAsia="Times New Roman" w:hAnsi="Calibri" w:cs="Times New Roman"/>
                <w:b/>
                <w:bCs/>
                <w:color w:val="000000"/>
                <w:lang w:eastAsia="en-AU"/>
              </w:rPr>
              <w:t>Learnline</w:t>
            </w:r>
            <w:proofErr w:type="spellEnd"/>
            <w:r w:rsidRPr="001F6686">
              <w:rPr>
                <w:rFonts w:ascii="Calibri" w:eastAsia="Times New Roman" w:hAnsi="Calibri" w:cs="Times New Roman"/>
                <w:b/>
                <w:bCs/>
                <w:color w:val="000000"/>
                <w:lang w:eastAsia="en-AU"/>
              </w:rPr>
              <w:t xml:space="preserve"> Sample : Grade Score by Mode of Attendance and Unit Type</w:t>
            </w:r>
          </w:p>
        </w:tc>
      </w:tr>
      <w:tr w:rsidR="0032429A" w:rsidRPr="001F6686" w:rsidTr="0032429A">
        <w:trPr>
          <w:trHeight w:val="300"/>
        </w:trPr>
        <w:tc>
          <w:tcPr>
            <w:tcW w:w="3018"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Common</w:t>
            </w:r>
            <w:r w:rsidRPr="001F6686">
              <w:rPr>
                <w:rFonts w:ascii="Calibri" w:eastAsia="Times New Roman" w:hAnsi="Calibri" w:cs="Times New Roman"/>
                <w:color w:val="000000"/>
                <w:lang w:eastAsia="en-AU"/>
              </w:rPr>
              <w:t>n_mode</w:t>
            </w:r>
            <w:proofErr w:type="spellEnd"/>
          </w:p>
        </w:tc>
        <w:tc>
          <w:tcPr>
            <w:tcW w:w="152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N</w:t>
            </w:r>
          </w:p>
        </w:tc>
        <w:tc>
          <w:tcPr>
            <w:tcW w:w="94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mean</w:t>
            </w:r>
          </w:p>
        </w:tc>
        <w:tc>
          <w:tcPr>
            <w:tcW w:w="936"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proofErr w:type="spellStart"/>
            <w:r w:rsidRPr="001F6686">
              <w:rPr>
                <w:rFonts w:ascii="Calibri" w:eastAsia="Times New Roman" w:hAnsi="Calibri" w:cs="Times New Roman"/>
                <w:color w:val="000000"/>
                <w:lang w:eastAsia="en-AU"/>
              </w:rPr>
              <w:t>sd</w:t>
            </w:r>
            <w:proofErr w:type="spellEnd"/>
          </w:p>
        </w:tc>
        <w:tc>
          <w:tcPr>
            <w:tcW w:w="1233"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se</w:t>
            </w:r>
          </w:p>
        </w:tc>
        <w:tc>
          <w:tcPr>
            <w:tcW w:w="1134"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p50</w:t>
            </w:r>
          </w:p>
        </w:tc>
      </w:tr>
      <w:tr w:rsidR="0032429A" w:rsidRPr="001F6686" w:rsidTr="0032429A">
        <w:trPr>
          <w:trHeight w:val="300"/>
        </w:trPr>
        <w:tc>
          <w:tcPr>
            <w:tcW w:w="3018"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Internal &amp; Core</w:t>
            </w:r>
          </w:p>
        </w:tc>
        <w:tc>
          <w:tcPr>
            <w:tcW w:w="152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987.000</w:t>
            </w:r>
          </w:p>
        </w:tc>
        <w:tc>
          <w:tcPr>
            <w:tcW w:w="94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4.334</w:t>
            </w:r>
          </w:p>
        </w:tc>
        <w:tc>
          <w:tcPr>
            <w:tcW w:w="936"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1.056</w:t>
            </w:r>
          </w:p>
        </w:tc>
        <w:tc>
          <w:tcPr>
            <w:tcW w:w="1233"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0.034</w:t>
            </w:r>
          </w:p>
        </w:tc>
        <w:tc>
          <w:tcPr>
            <w:tcW w:w="1134"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4.000</w:t>
            </w:r>
          </w:p>
        </w:tc>
      </w:tr>
      <w:tr w:rsidR="0032429A" w:rsidRPr="001F6686" w:rsidTr="0032429A">
        <w:trPr>
          <w:trHeight w:val="300"/>
        </w:trPr>
        <w:tc>
          <w:tcPr>
            <w:tcW w:w="3018"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 xml:space="preserve">Internal &amp; </w:t>
            </w:r>
            <w:proofErr w:type="spellStart"/>
            <w:r>
              <w:rPr>
                <w:rFonts w:ascii="Calibri" w:eastAsia="Times New Roman" w:hAnsi="Calibri" w:cs="Times New Roman"/>
                <w:color w:val="000000"/>
                <w:lang w:eastAsia="en-AU"/>
              </w:rPr>
              <w:t>Commonn</w:t>
            </w:r>
            <w:proofErr w:type="spellEnd"/>
          </w:p>
        </w:tc>
        <w:tc>
          <w:tcPr>
            <w:tcW w:w="152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618.000</w:t>
            </w:r>
          </w:p>
        </w:tc>
        <w:tc>
          <w:tcPr>
            <w:tcW w:w="94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4.900</w:t>
            </w:r>
          </w:p>
        </w:tc>
        <w:tc>
          <w:tcPr>
            <w:tcW w:w="936"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0.973</w:t>
            </w:r>
          </w:p>
        </w:tc>
        <w:tc>
          <w:tcPr>
            <w:tcW w:w="1233"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0.039</w:t>
            </w:r>
          </w:p>
        </w:tc>
        <w:tc>
          <w:tcPr>
            <w:tcW w:w="1134"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5.000</w:t>
            </w:r>
          </w:p>
        </w:tc>
      </w:tr>
      <w:tr w:rsidR="0032429A" w:rsidRPr="001F6686" w:rsidTr="0032429A">
        <w:trPr>
          <w:trHeight w:val="300"/>
        </w:trPr>
        <w:tc>
          <w:tcPr>
            <w:tcW w:w="3018"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External &amp; Core</w:t>
            </w:r>
          </w:p>
        </w:tc>
        <w:tc>
          <w:tcPr>
            <w:tcW w:w="152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689.000</w:t>
            </w:r>
          </w:p>
        </w:tc>
        <w:tc>
          <w:tcPr>
            <w:tcW w:w="945"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4.403</w:t>
            </w:r>
          </w:p>
        </w:tc>
        <w:tc>
          <w:tcPr>
            <w:tcW w:w="936"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1.004</w:t>
            </w:r>
          </w:p>
        </w:tc>
        <w:tc>
          <w:tcPr>
            <w:tcW w:w="1233"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0.038</w:t>
            </w:r>
          </w:p>
        </w:tc>
        <w:tc>
          <w:tcPr>
            <w:tcW w:w="1134" w:type="dxa"/>
            <w:tcBorders>
              <w:top w:val="nil"/>
              <w:left w:val="nil"/>
              <w:bottom w:val="nil"/>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4.000</w:t>
            </w:r>
          </w:p>
        </w:tc>
      </w:tr>
      <w:tr w:rsidR="0032429A" w:rsidRPr="001F6686" w:rsidTr="0032429A">
        <w:trPr>
          <w:trHeight w:val="300"/>
        </w:trPr>
        <w:tc>
          <w:tcPr>
            <w:tcW w:w="3018"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 xml:space="preserve">External &amp; </w:t>
            </w:r>
            <w:proofErr w:type="spellStart"/>
            <w:r>
              <w:rPr>
                <w:rFonts w:ascii="Calibri" w:eastAsia="Times New Roman" w:hAnsi="Calibri" w:cs="Times New Roman"/>
                <w:color w:val="000000"/>
                <w:lang w:eastAsia="en-AU"/>
              </w:rPr>
              <w:t>Commonn</w:t>
            </w:r>
            <w:proofErr w:type="spellEnd"/>
          </w:p>
        </w:tc>
        <w:tc>
          <w:tcPr>
            <w:tcW w:w="152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724.000</w:t>
            </w:r>
          </w:p>
        </w:tc>
        <w:tc>
          <w:tcPr>
            <w:tcW w:w="945"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5.166</w:t>
            </w:r>
          </w:p>
        </w:tc>
        <w:tc>
          <w:tcPr>
            <w:tcW w:w="936"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0.928</w:t>
            </w:r>
          </w:p>
        </w:tc>
        <w:tc>
          <w:tcPr>
            <w:tcW w:w="1233"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0.034</w:t>
            </w:r>
          </w:p>
        </w:tc>
        <w:tc>
          <w:tcPr>
            <w:tcW w:w="1134" w:type="dxa"/>
            <w:tcBorders>
              <w:top w:val="nil"/>
              <w:left w:val="nil"/>
              <w:bottom w:val="nil"/>
              <w:right w:val="nil"/>
            </w:tcBorders>
            <w:shd w:val="clear" w:color="D9D9D9" w:fill="D9D9D9"/>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5.000</w:t>
            </w:r>
          </w:p>
        </w:tc>
      </w:tr>
      <w:tr w:rsidR="0032429A" w:rsidRPr="001F6686" w:rsidTr="0032429A">
        <w:trPr>
          <w:trHeight w:val="300"/>
        </w:trPr>
        <w:tc>
          <w:tcPr>
            <w:tcW w:w="3018" w:type="dxa"/>
            <w:tcBorders>
              <w:top w:val="nil"/>
              <w:left w:val="nil"/>
              <w:bottom w:val="single" w:sz="4" w:space="0" w:color="000000"/>
              <w:right w:val="nil"/>
            </w:tcBorders>
            <w:shd w:val="clear" w:color="auto" w:fill="auto"/>
            <w:noWrap/>
            <w:vAlign w:val="bottom"/>
            <w:hideMark/>
          </w:tcPr>
          <w:p w:rsidR="0032429A" w:rsidRPr="001F6686" w:rsidRDefault="0032429A" w:rsidP="0032429A">
            <w:pPr>
              <w:spacing w:after="0" w:line="240" w:lineRule="auto"/>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Total</w:t>
            </w:r>
          </w:p>
        </w:tc>
        <w:tc>
          <w:tcPr>
            <w:tcW w:w="1525" w:type="dxa"/>
            <w:tcBorders>
              <w:top w:val="nil"/>
              <w:left w:val="nil"/>
              <w:bottom w:val="single" w:sz="4" w:space="0" w:color="000000"/>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3018.000</w:t>
            </w:r>
          </w:p>
        </w:tc>
        <w:tc>
          <w:tcPr>
            <w:tcW w:w="945" w:type="dxa"/>
            <w:tcBorders>
              <w:top w:val="nil"/>
              <w:left w:val="nil"/>
              <w:bottom w:val="single" w:sz="4" w:space="0" w:color="000000"/>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4.665</w:t>
            </w:r>
          </w:p>
        </w:tc>
        <w:tc>
          <w:tcPr>
            <w:tcW w:w="936" w:type="dxa"/>
            <w:tcBorders>
              <w:top w:val="nil"/>
              <w:left w:val="nil"/>
              <w:bottom w:val="single" w:sz="4" w:space="0" w:color="000000"/>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1.057</w:t>
            </w:r>
          </w:p>
        </w:tc>
        <w:tc>
          <w:tcPr>
            <w:tcW w:w="1233" w:type="dxa"/>
            <w:tcBorders>
              <w:top w:val="nil"/>
              <w:left w:val="nil"/>
              <w:bottom w:val="single" w:sz="4" w:space="0" w:color="000000"/>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0.019</w:t>
            </w:r>
          </w:p>
        </w:tc>
        <w:tc>
          <w:tcPr>
            <w:tcW w:w="1134" w:type="dxa"/>
            <w:tcBorders>
              <w:top w:val="nil"/>
              <w:left w:val="nil"/>
              <w:bottom w:val="single" w:sz="4" w:space="0" w:color="000000"/>
              <w:right w:val="nil"/>
            </w:tcBorders>
            <w:shd w:val="clear" w:color="auto" w:fill="auto"/>
            <w:noWrap/>
            <w:vAlign w:val="bottom"/>
            <w:hideMark/>
          </w:tcPr>
          <w:p w:rsidR="0032429A" w:rsidRPr="001F6686" w:rsidRDefault="0032429A" w:rsidP="0032429A">
            <w:pPr>
              <w:spacing w:after="0" w:line="240" w:lineRule="auto"/>
              <w:jc w:val="right"/>
              <w:rPr>
                <w:rFonts w:ascii="Calibri" w:eastAsia="Times New Roman" w:hAnsi="Calibri" w:cs="Times New Roman"/>
                <w:color w:val="000000"/>
                <w:lang w:eastAsia="en-AU"/>
              </w:rPr>
            </w:pPr>
            <w:r w:rsidRPr="001F6686">
              <w:rPr>
                <w:rFonts w:ascii="Calibri" w:eastAsia="Times New Roman" w:hAnsi="Calibri" w:cs="Times New Roman"/>
                <w:color w:val="000000"/>
                <w:lang w:eastAsia="en-AU"/>
              </w:rPr>
              <w:t>5.000</w:t>
            </w:r>
          </w:p>
        </w:tc>
      </w:tr>
    </w:tbl>
    <w:p w:rsidR="0032429A" w:rsidRDefault="0032429A" w:rsidP="0032429A">
      <w:pPr>
        <w:rPr>
          <w:b/>
        </w:rPr>
      </w:pPr>
    </w:p>
    <w:p w:rsidR="0032429A" w:rsidRPr="007565DD" w:rsidRDefault="0032429A" w:rsidP="007565DD">
      <w:r w:rsidRPr="007565DD">
        <w:t>Table B2.Collaborate Sample: Crosstab of Grade Score by Treatment Group and Pedagogic Context</w:t>
      </w:r>
    </w:p>
    <w:tbl>
      <w:tblPr>
        <w:tblW w:w="8260" w:type="dxa"/>
        <w:tblInd w:w="835" w:type="dxa"/>
        <w:tblLook w:val="04A0" w:firstRow="1" w:lastRow="0" w:firstColumn="1" w:lastColumn="0" w:noHBand="0" w:noVBand="1"/>
      </w:tblPr>
      <w:tblGrid>
        <w:gridCol w:w="3258"/>
        <w:gridCol w:w="849"/>
        <w:gridCol w:w="974"/>
        <w:gridCol w:w="947"/>
        <w:gridCol w:w="1570"/>
        <w:gridCol w:w="662"/>
      </w:tblGrid>
      <w:tr w:rsidR="0032429A" w:rsidRPr="00247D4B" w:rsidTr="0032429A">
        <w:trPr>
          <w:trHeight w:val="300"/>
        </w:trPr>
        <w:tc>
          <w:tcPr>
            <w:tcW w:w="8260" w:type="dxa"/>
            <w:gridSpan w:val="6"/>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rPr>
                <w:rFonts w:ascii="Calibri" w:eastAsia="Times New Roman" w:hAnsi="Calibri" w:cs="Times New Roman"/>
                <w:b/>
                <w:bCs/>
                <w:color w:val="000000"/>
                <w:lang w:eastAsia="en-AU"/>
              </w:rPr>
            </w:pPr>
            <w:r w:rsidRPr="00247D4B">
              <w:rPr>
                <w:rFonts w:ascii="Calibri" w:eastAsia="Times New Roman" w:hAnsi="Calibri" w:cs="Times New Roman"/>
                <w:b/>
                <w:bCs/>
                <w:color w:val="000000"/>
                <w:lang w:eastAsia="en-AU"/>
              </w:rPr>
              <w:t>Treated Collaborate Sample:  Grade Score by Mode of Attendance and Unit Type</w:t>
            </w:r>
          </w:p>
        </w:tc>
      </w:tr>
      <w:tr w:rsidR="0032429A" w:rsidRPr="00247D4B" w:rsidTr="0032429A">
        <w:trPr>
          <w:trHeight w:val="300"/>
        </w:trPr>
        <w:tc>
          <w:tcPr>
            <w:tcW w:w="3258"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rPr>
                <w:rFonts w:ascii="Calibri" w:eastAsia="Times New Roman" w:hAnsi="Calibri" w:cs="Times New Roman"/>
                <w:b/>
                <w:bCs/>
                <w:color w:val="000000"/>
                <w:lang w:eastAsia="en-AU"/>
              </w:rPr>
            </w:pPr>
            <w:proofErr w:type="spellStart"/>
            <w:r>
              <w:rPr>
                <w:rFonts w:ascii="Calibri" w:eastAsia="Times New Roman" w:hAnsi="Calibri" w:cs="Times New Roman"/>
                <w:b/>
                <w:bCs/>
                <w:color w:val="000000"/>
                <w:lang w:eastAsia="en-AU"/>
              </w:rPr>
              <w:t>Common</w:t>
            </w:r>
            <w:r w:rsidRPr="00247D4B">
              <w:rPr>
                <w:rFonts w:ascii="Calibri" w:eastAsia="Times New Roman" w:hAnsi="Calibri" w:cs="Times New Roman"/>
                <w:b/>
                <w:bCs/>
                <w:color w:val="000000"/>
                <w:lang w:eastAsia="en-AU"/>
              </w:rPr>
              <w:t>n_mode</w:t>
            </w:r>
            <w:proofErr w:type="spellEnd"/>
          </w:p>
        </w:tc>
        <w:tc>
          <w:tcPr>
            <w:tcW w:w="849"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b/>
                <w:bCs/>
                <w:color w:val="000000"/>
                <w:lang w:eastAsia="en-AU"/>
              </w:rPr>
            </w:pPr>
            <w:r w:rsidRPr="00247D4B">
              <w:rPr>
                <w:rFonts w:ascii="Calibri" w:eastAsia="Times New Roman" w:hAnsi="Calibri" w:cs="Times New Roman"/>
                <w:b/>
                <w:bCs/>
                <w:color w:val="000000"/>
                <w:lang w:eastAsia="en-AU"/>
              </w:rPr>
              <w:t>N</w:t>
            </w:r>
          </w:p>
        </w:tc>
        <w:tc>
          <w:tcPr>
            <w:tcW w:w="974"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b/>
                <w:bCs/>
                <w:color w:val="000000"/>
                <w:lang w:eastAsia="en-AU"/>
              </w:rPr>
            </w:pPr>
            <w:r w:rsidRPr="00247D4B">
              <w:rPr>
                <w:rFonts w:ascii="Calibri" w:eastAsia="Times New Roman" w:hAnsi="Calibri" w:cs="Times New Roman"/>
                <w:b/>
                <w:bCs/>
                <w:color w:val="000000"/>
                <w:lang w:eastAsia="en-AU"/>
              </w:rPr>
              <w:t>mean</w:t>
            </w:r>
          </w:p>
        </w:tc>
        <w:tc>
          <w:tcPr>
            <w:tcW w:w="947"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b/>
                <w:bCs/>
                <w:color w:val="000000"/>
                <w:lang w:eastAsia="en-AU"/>
              </w:rPr>
            </w:pPr>
            <w:proofErr w:type="spellStart"/>
            <w:r w:rsidRPr="00247D4B">
              <w:rPr>
                <w:rFonts w:ascii="Calibri" w:eastAsia="Times New Roman" w:hAnsi="Calibri" w:cs="Times New Roman"/>
                <w:b/>
                <w:bCs/>
                <w:color w:val="000000"/>
                <w:lang w:eastAsia="en-AU"/>
              </w:rPr>
              <w:t>sd</w:t>
            </w:r>
            <w:proofErr w:type="spellEnd"/>
          </w:p>
        </w:tc>
        <w:tc>
          <w:tcPr>
            <w:tcW w:w="1570"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b/>
                <w:bCs/>
                <w:color w:val="000000"/>
                <w:lang w:eastAsia="en-AU"/>
              </w:rPr>
            </w:pPr>
            <w:r w:rsidRPr="00247D4B">
              <w:rPr>
                <w:rFonts w:ascii="Calibri" w:eastAsia="Times New Roman" w:hAnsi="Calibri" w:cs="Times New Roman"/>
                <w:b/>
                <w:bCs/>
                <w:color w:val="000000"/>
                <w:lang w:eastAsia="en-AU"/>
              </w:rPr>
              <w:t>se(mean)</w:t>
            </w:r>
          </w:p>
        </w:tc>
        <w:tc>
          <w:tcPr>
            <w:tcW w:w="662"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b/>
                <w:bCs/>
                <w:color w:val="000000"/>
                <w:lang w:eastAsia="en-AU"/>
              </w:rPr>
            </w:pPr>
            <w:r w:rsidRPr="00247D4B">
              <w:rPr>
                <w:rFonts w:ascii="Calibri" w:eastAsia="Times New Roman" w:hAnsi="Calibri" w:cs="Times New Roman"/>
                <w:b/>
                <w:bCs/>
                <w:color w:val="000000"/>
                <w:lang w:eastAsia="en-AU"/>
              </w:rPr>
              <w:t>p50</w:t>
            </w:r>
          </w:p>
        </w:tc>
      </w:tr>
      <w:tr w:rsidR="0032429A" w:rsidRPr="00247D4B" w:rsidTr="0032429A">
        <w:trPr>
          <w:trHeight w:val="300"/>
        </w:trPr>
        <w:tc>
          <w:tcPr>
            <w:tcW w:w="3258"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Internal &amp; Core</w:t>
            </w:r>
          </w:p>
        </w:tc>
        <w:tc>
          <w:tcPr>
            <w:tcW w:w="849"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163</w:t>
            </w:r>
          </w:p>
        </w:tc>
        <w:tc>
          <w:tcPr>
            <w:tcW w:w="974"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4.933</w:t>
            </w:r>
          </w:p>
        </w:tc>
        <w:tc>
          <w:tcPr>
            <w:tcW w:w="947"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1.055</w:t>
            </w:r>
          </w:p>
        </w:tc>
        <w:tc>
          <w:tcPr>
            <w:tcW w:w="1570"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0.083</w:t>
            </w:r>
          </w:p>
        </w:tc>
        <w:tc>
          <w:tcPr>
            <w:tcW w:w="662"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w:t>
            </w:r>
          </w:p>
        </w:tc>
      </w:tr>
      <w:tr w:rsidR="0032429A" w:rsidRPr="00247D4B" w:rsidTr="0032429A">
        <w:trPr>
          <w:trHeight w:val="300"/>
        </w:trPr>
        <w:tc>
          <w:tcPr>
            <w:tcW w:w="3258"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 xml:space="preserve">Internal &amp; </w:t>
            </w:r>
            <w:proofErr w:type="spellStart"/>
            <w:r>
              <w:rPr>
                <w:rFonts w:ascii="Calibri" w:eastAsia="Times New Roman" w:hAnsi="Calibri" w:cs="Times New Roman"/>
                <w:color w:val="000000"/>
                <w:lang w:eastAsia="en-AU"/>
              </w:rPr>
              <w:t>Common</w:t>
            </w:r>
            <w:r w:rsidRPr="00247D4B">
              <w:rPr>
                <w:rFonts w:ascii="Calibri" w:eastAsia="Times New Roman" w:hAnsi="Calibri" w:cs="Times New Roman"/>
                <w:color w:val="000000"/>
                <w:lang w:eastAsia="en-AU"/>
              </w:rPr>
              <w:t>n</w:t>
            </w:r>
            <w:proofErr w:type="spellEnd"/>
          </w:p>
        </w:tc>
        <w:tc>
          <w:tcPr>
            <w:tcW w:w="849"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192</w:t>
            </w:r>
          </w:p>
        </w:tc>
        <w:tc>
          <w:tcPr>
            <w:tcW w:w="974"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5.328</w:t>
            </w:r>
          </w:p>
        </w:tc>
        <w:tc>
          <w:tcPr>
            <w:tcW w:w="947"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0.961</w:t>
            </w:r>
          </w:p>
        </w:tc>
        <w:tc>
          <w:tcPr>
            <w:tcW w:w="1570"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0.069</w:t>
            </w:r>
          </w:p>
        </w:tc>
        <w:tc>
          <w:tcPr>
            <w:tcW w:w="662"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w:t>
            </w:r>
          </w:p>
        </w:tc>
      </w:tr>
      <w:tr w:rsidR="0032429A" w:rsidRPr="00247D4B" w:rsidTr="0032429A">
        <w:trPr>
          <w:trHeight w:val="300"/>
        </w:trPr>
        <w:tc>
          <w:tcPr>
            <w:tcW w:w="3258"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External &amp; Core</w:t>
            </w:r>
          </w:p>
        </w:tc>
        <w:tc>
          <w:tcPr>
            <w:tcW w:w="849"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971</w:t>
            </w:r>
          </w:p>
        </w:tc>
        <w:tc>
          <w:tcPr>
            <w:tcW w:w="974"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5.059</w:t>
            </w:r>
          </w:p>
        </w:tc>
        <w:tc>
          <w:tcPr>
            <w:tcW w:w="947"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1.103</w:t>
            </w:r>
          </w:p>
        </w:tc>
        <w:tc>
          <w:tcPr>
            <w:tcW w:w="1570"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0.035</w:t>
            </w:r>
          </w:p>
        </w:tc>
        <w:tc>
          <w:tcPr>
            <w:tcW w:w="662"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w:t>
            </w:r>
          </w:p>
        </w:tc>
      </w:tr>
      <w:tr w:rsidR="0032429A" w:rsidRPr="00247D4B" w:rsidTr="0032429A">
        <w:trPr>
          <w:trHeight w:val="300"/>
        </w:trPr>
        <w:tc>
          <w:tcPr>
            <w:tcW w:w="3258"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 xml:space="preserve">External &amp; </w:t>
            </w:r>
            <w:proofErr w:type="spellStart"/>
            <w:r>
              <w:rPr>
                <w:rFonts w:ascii="Calibri" w:eastAsia="Times New Roman" w:hAnsi="Calibri" w:cs="Times New Roman"/>
                <w:color w:val="000000"/>
                <w:lang w:eastAsia="en-AU"/>
              </w:rPr>
              <w:t>Common</w:t>
            </w:r>
            <w:r w:rsidRPr="00247D4B">
              <w:rPr>
                <w:rFonts w:ascii="Calibri" w:eastAsia="Times New Roman" w:hAnsi="Calibri" w:cs="Times New Roman"/>
                <w:color w:val="000000"/>
                <w:lang w:eastAsia="en-AU"/>
              </w:rPr>
              <w:t>n</w:t>
            </w:r>
            <w:proofErr w:type="spellEnd"/>
          </w:p>
        </w:tc>
        <w:tc>
          <w:tcPr>
            <w:tcW w:w="849"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1504</w:t>
            </w:r>
          </w:p>
        </w:tc>
        <w:tc>
          <w:tcPr>
            <w:tcW w:w="974"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5.669</w:t>
            </w:r>
          </w:p>
        </w:tc>
        <w:tc>
          <w:tcPr>
            <w:tcW w:w="947"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0.802</w:t>
            </w:r>
          </w:p>
        </w:tc>
        <w:tc>
          <w:tcPr>
            <w:tcW w:w="1570"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0.021</w:t>
            </w:r>
          </w:p>
        </w:tc>
        <w:tc>
          <w:tcPr>
            <w:tcW w:w="662"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6</w:t>
            </w:r>
          </w:p>
        </w:tc>
      </w:tr>
      <w:tr w:rsidR="0032429A" w:rsidRPr="00247D4B" w:rsidTr="0032429A">
        <w:trPr>
          <w:trHeight w:val="300"/>
        </w:trPr>
        <w:tc>
          <w:tcPr>
            <w:tcW w:w="3258"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Total</w:t>
            </w:r>
          </w:p>
        </w:tc>
        <w:tc>
          <w:tcPr>
            <w:tcW w:w="849"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2830</w:t>
            </w:r>
          </w:p>
        </w:tc>
        <w:tc>
          <w:tcPr>
            <w:tcW w:w="974"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5.394</w:t>
            </w:r>
          </w:p>
        </w:tc>
        <w:tc>
          <w:tcPr>
            <w:tcW w:w="947"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0.988</w:t>
            </w:r>
          </w:p>
        </w:tc>
        <w:tc>
          <w:tcPr>
            <w:tcW w:w="1570"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0.019</w:t>
            </w:r>
          </w:p>
        </w:tc>
        <w:tc>
          <w:tcPr>
            <w:tcW w:w="662"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6</w:t>
            </w:r>
          </w:p>
        </w:tc>
      </w:tr>
      <w:tr w:rsidR="0032429A" w:rsidRPr="00247D4B" w:rsidTr="0032429A">
        <w:trPr>
          <w:trHeight w:val="300"/>
        </w:trPr>
        <w:tc>
          <w:tcPr>
            <w:tcW w:w="8260" w:type="dxa"/>
            <w:gridSpan w:val="6"/>
            <w:tcBorders>
              <w:top w:val="nil"/>
              <w:left w:val="nil"/>
              <w:bottom w:val="nil"/>
              <w:right w:val="nil"/>
            </w:tcBorders>
            <w:shd w:val="clear" w:color="auto" w:fill="auto"/>
            <w:noWrap/>
            <w:vAlign w:val="bottom"/>
            <w:hideMark/>
          </w:tcPr>
          <w:p w:rsidR="0032429A" w:rsidRPr="00247D4B" w:rsidRDefault="0032429A" w:rsidP="0032429A">
            <w:pPr>
              <w:spacing w:after="0" w:line="240" w:lineRule="auto"/>
              <w:rPr>
                <w:rFonts w:ascii="Calibri" w:eastAsia="Times New Roman" w:hAnsi="Calibri" w:cs="Times New Roman"/>
                <w:b/>
                <w:bCs/>
                <w:color w:val="000000"/>
                <w:lang w:eastAsia="en-AU"/>
              </w:rPr>
            </w:pPr>
            <w:r w:rsidRPr="00247D4B">
              <w:rPr>
                <w:rFonts w:ascii="Calibri" w:eastAsia="Times New Roman" w:hAnsi="Calibri" w:cs="Times New Roman"/>
                <w:b/>
                <w:bCs/>
                <w:color w:val="000000"/>
                <w:lang w:eastAsia="en-AU"/>
              </w:rPr>
              <w:t xml:space="preserve">Untreated </w:t>
            </w:r>
            <w:proofErr w:type="spellStart"/>
            <w:r w:rsidRPr="00247D4B">
              <w:rPr>
                <w:rFonts w:ascii="Calibri" w:eastAsia="Times New Roman" w:hAnsi="Calibri" w:cs="Times New Roman"/>
                <w:b/>
                <w:bCs/>
                <w:color w:val="000000"/>
                <w:lang w:eastAsia="en-AU"/>
              </w:rPr>
              <w:t>Learnline</w:t>
            </w:r>
            <w:proofErr w:type="spellEnd"/>
            <w:r w:rsidRPr="00247D4B">
              <w:rPr>
                <w:rFonts w:ascii="Calibri" w:eastAsia="Times New Roman" w:hAnsi="Calibri" w:cs="Times New Roman"/>
                <w:b/>
                <w:bCs/>
                <w:color w:val="000000"/>
                <w:lang w:eastAsia="en-AU"/>
              </w:rPr>
              <w:t xml:space="preserve"> Sample : Grade Score by Mode of Attendance and Unit Type</w:t>
            </w:r>
          </w:p>
        </w:tc>
      </w:tr>
      <w:tr w:rsidR="0032429A" w:rsidRPr="00247D4B" w:rsidTr="0032429A">
        <w:trPr>
          <w:trHeight w:val="300"/>
        </w:trPr>
        <w:tc>
          <w:tcPr>
            <w:tcW w:w="3258"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Common</w:t>
            </w:r>
            <w:r w:rsidRPr="00247D4B">
              <w:rPr>
                <w:rFonts w:ascii="Calibri" w:eastAsia="Times New Roman" w:hAnsi="Calibri" w:cs="Times New Roman"/>
                <w:color w:val="000000"/>
                <w:lang w:eastAsia="en-AU"/>
              </w:rPr>
              <w:t>n_mode</w:t>
            </w:r>
            <w:proofErr w:type="spellEnd"/>
          </w:p>
        </w:tc>
        <w:tc>
          <w:tcPr>
            <w:tcW w:w="849"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N</w:t>
            </w:r>
          </w:p>
        </w:tc>
        <w:tc>
          <w:tcPr>
            <w:tcW w:w="974"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mean</w:t>
            </w:r>
          </w:p>
        </w:tc>
        <w:tc>
          <w:tcPr>
            <w:tcW w:w="947"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proofErr w:type="spellStart"/>
            <w:r w:rsidRPr="00247D4B">
              <w:rPr>
                <w:rFonts w:ascii="Calibri" w:eastAsia="Times New Roman" w:hAnsi="Calibri" w:cs="Times New Roman"/>
                <w:color w:val="000000"/>
                <w:lang w:eastAsia="en-AU"/>
              </w:rPr>
              <w:t>sd</w:t>
            </w:r>
            <w:proofErr w:type="spellEnd"/>
          </w:p>
        </w:tc>
        <w:tc>
          <w:tcPr>
            <w:tcW w:w="1570"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se(mean)</w:t>
            </w:r>
          </w:p>
        </w:tc>
        <w:tc>
          <w:tcPr>
            <w:tcW w:w="662"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p50</w:t>
            </w:r>
          </w:p>
        </w:tc>
      </w:tr>
      <w:tr w:rsidR="0032429A" w:rsidRPr="00247D4B" w:rsidTr="0032429A">
        <w:trPr>
          <w:trHeight w:val="300"/>
        </w:trPr>
        <w:tc>
          <w:tcPr>
            <w:tcW w:w="3258"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Internal &amp; Core</w:t>
            </w:r>
          </w:p>
        </w:tc>
        <w:tc>
          <w:tcPr>
            <w:tcW w:w="849"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250</w:t>
            </w:r>
          </w:p>
        </w:tc>
        <w:tc>
          <w:tcPr>
            <w:tcW w:w="974"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4.816</w:t>
            </w:r>
          </w:p>
        </w:tc>
        <w:tc>
          <w:tcPr>
            <w:tcW w:w="947"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1.164</w:t>
            </w:r>
          </w:p>
        </w:tc>
        <w:tc>
          <w:tcPr>
            <w:tcW w:w="1570"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0.074</w:t>
            </w:r>
          </w:p>
        </w:tc>
        <w:tc>
          <w:tcPr>
            <w:tcW w:w="662"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w:t>
            </w:r>
          </w:p>
        </w:tc>
      </w:tr>
      <w:tr w:rsidR="0032429A" w:rsidRPr="00247D4B" w:rsidTr="0032429A">
        <w:trPr>
          <w:trHeight w:val="300"/>
        </w:trPr>
        <w:tc>
          <w:tcPr>
            <w:tcW w:w="3258" w:type="dxa"/>
            <w:tcBorders>
              <w:top w:val="nil"/>
              <w:left w:val="nil"/>
              <w:bottom w:val="nil"/>
              <w:right w:val="nil"/>
            </w:tcBorders>
            <w:shd w:val="clear" w:color="D9D9D9" w:fill="D9D9D9"/>
            <w:noWrap/>
            <w:vAlign w:val="bottom"/>
            <w:hideMark/>
          </w:tcPr>
          <w:p w:rsidR="0032429A" w:rsidRPr="00247D4B" w:rsidRDefault="0032429A" w:rsidP="007565DD">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 xml:space="preserve">Internal &amp; </w:t>
            </w:r>
            <w:r>
              <w:rPr>
                <w:rFonts w:ascii="Calibri" w:eastAsia="Times New Roman" w:hAnsi="Calibri" w:cs="Times New Roman"/>
                <w:color w:val="000000"/>
                <w:lang w:eastAsia="en-AU"/>
              </w:rPr>
              <w:t>Common</w:t>
            </w:r>
          </w:p>
        </w:tc>
        <w:tc>
          <w:tcPr>
            <w:tcW w:w="849"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130</w:t>
            </w:r>
          </w:p>
        </w:tc>
        <w:tc>
          <w:tcPr>
            <w:tcW w:w="974"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5.408</w:t>
            </w:r>
          </w:p>
        </w:tc>
        <w:tc>
          <w:tcPr>
            <w:tcW w:w="947"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0.912</w:t>
            </w:r>
          </w:p>
        </w:tc>
        <w:tc>
          <w:tcPr>
            <w:tcW w:w="1570"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0.080</w:t>
            </w:r>
          </w:p>
        </w:tc>
        <w:tc>
          <w:tcPr>
            <w:tcW w:w="662"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6</w:t>
            </w:r>
          </w:p>
        </w:tc>
      </w:tr>
      <w:tr w:rsidR="0032429A" w:rsidRPr="00247D4B" w:rsidTr="0032429A">
        <w:trPr>
          <w:trHeight w:val="300"/>
        </w:trPr>
        <w:tc>
          <w:tcPr>
            <w:tcW w:w="3258"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External &amp; Core</w:t>
            </w:r>
          </w:p>
        </w:tc>
        <w:tc>
          <w:tcPr>
            <w:tcW w:w="849"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312</w:t>
            </w:r>
          </w:p>
        </w:tc>
        <w:tc>
          <w:tcPr>
            <w:tcW w:w="974"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4.641</w:t>
            </w:r>
          </w:p>
        </w:tc>
        <w:tc>
          <w:tcPr>
            <w:tcW w:w="947"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1.122</w:t>
            </w:r>
          </w:p>
        </w:tc>
        <w:tc>
          <w:tcPr>
            <w:tcW w:w="1570"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0.064</w:t>
            </w:r>
          </w:p>
        </w:tc>
        <w:tc>
          <w:tcPr>
            <w:tcW w:w="662" w:type="dxa"/>
            <w:tcBorders>
              <w:top w:val="nil"/>
              <w:left w:val="nil"/>
              <w:bottom w:val="nil"/>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4</w:t>
            </w:r>
          </w:p>
        </w:tc>
      </w:tr>
      <w:tr w:rsidR="0032429A" w:rsidRPr="00247D4B" w:rsidTr="0032429A">
        <w:trPr>
          <w:trHeight w:val="300"/>
        </w:trPr>
        <w:tc>
          <w:tcPr>
            <w:tcW w:w="3258"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 xml:space="preserve">External &amp; </w:t>
            </w:r>
            <w:proofErr w:type="spellStart"/>
            <w:r>
              <w:rPr>
                <w:rFonts w:ascii="Calibri" w:eastAsia="Times New Roman" w:hAnsi="Calibri" w:cs="Times New Roman"/>
                <w:color w:val="000000"/>
                <w:lang w:eastAsia="en-AU"/>
              </w:rPr>
              <w:t>Common</w:t>
            </w:r>
            <w:r w:rsidRPr="00247D4B">
              <w:rPr>
                <w:rFonts w:ascii="Calibri" w:eastAsia="Times New Roman" w:hAnsi="Calibri" w:cs="Times New Roman"/>
                <w:color w:val="000000"/>
                <w:lang w:eastAsia="en-AU"/>
              </w:rPr>
              <w:t>n</w:t>
            </w:r>
            <w:proofErr w:type="spellEnd"/>
          </w:p>
        </w:tc>
        <w:tc>
          <w:tcPr>
            <w:tcW w:w="849"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383</w:t>
            </w:r>
          </w:p>
        </w:tc>
        <w:tc>
          <w:tcPr>
            <w:tcW w:w="974"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5.399</w:t>
            </w:r>
          </w:p>
        </w:tc>
        <w:tc>
          <w:tcPr>
            <w:tcW w:w="947"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0.850</w:t>
            </w:r>
          </w:p>
        </w:tc>
        <w:tc>
          <w:tcPr>
            <w:tcW w:w="1570"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0.043</w:t>
            </w:r>
          </w:p>
        </w:tc>
        <w:tc>
          <w:tcPr>
            <w:tcW w:w="662" w:type="dxa"/>
            <w:tcBorders>
              <w:top w:val="nil"/>
              <w:left w:val="nil"/>
              <w:bottom w:val="nil"/>
              <w:right w:val="nil"/>
            </w:tcBorders>
            <w:shd w:val="clear" w:color="D9D9D9" w:fill="D9D9D9"/>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6</w:t>
            </w:r>
          </w:p>
        </w:tc>
      </w:tr>
      <w:tr w:rsidR="0032429A" w:rsidRPr="00247D4B" w:rsidTr="0032429A">
        <w:trPr>
          <w:trHeight w:val="300"/>
        </w:trPr>
        <w:tc>
          <w:tcPr>
            <w:tcW w:w="3258" w:type="dxa"/>
            <w:tcBorders>
              <w:top w:val="nil"/>
              <w:left w:val="nil"/>
              <w:bottom w:val="single" w:sz="4" w:space="0" w:color="000000"/>
              <w:right w:val="nil"/>
            </w:tcBorders>
            <w:shd w:val="clear" w:color="auto" w:fill="auto"/>
            <w:noWrap/>
            <w:vAlign w:val="bottom"/>
            <w:hideMark/>
          </w:tcPr>
          <w:p w:rsidR="0032429A" w:rsidRPr="00247D4B" w:rsidRDefault="0032429A" w:rsidP="0032429A">
            <w:pPr>
              <w:spacing w:after="0" w:line="240" w:lineRule="auto"/>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Total</w:t>
            </w:r>
          </w:p>
        </w:tc>
        <w:tc>
          <w:tcPr>
            <w:tcW w:w="849" w:type="dxa"/>
            <w:tcBorders>
              <w:top w:val="nil"/>
              <w:left w:val="nil"/>
              <w:bottom w:val="single" w:sz="4" w:space="0" w:color="000000"/>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1075</w:t>
            </w:r>
          </w:p>
        </w:tc>
        <w:tc>
          <w:tcPr>
            <w:tcW w:w="974" w:type="dxa"/>
            <w:tcBorders>
              <w:top w:val="nil"/>
              <w:left w:val="nil"/>
              <w:bottom w:val="single" w:sz="4" w:space="0" w:color="000000"/>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5.045</w:t>
            </w:r>
          </w:p>
        </w:tc>
        <w:tc>
          <w:tcPr>
            <w:tcW w:w="947" w:type="dxa"/>
            <w:tcBorders>
              <w:top w:val="nil"/>
              <w:left w:val="nil"/>
              <w:bottom w:val="single" w:sz="4" w:space="0" w:color="000000"/>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1.075</w:t>
            </w:r>
          </w:p>
        </w:tc>
        <w:tc>
          <w:tcPr>
            <w:tcW w:w="1570" w:type="dxa"/>
            <w:tcBorders>
              <w:top w:val="nil"/>
              <w:left w:val="nil"/>
              <w:bottom w:val="single" w:sz="4" w:space="0" w:color="000000"/>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0.033</w:t>
            </w:r>
          </w:p>
        </w:tc>
        <w:tc>
          <w:tcPr>
            <w:tcW w:w="662" w:type="dxa"/>
            <w:tcBorders>
              <w:top w:val="nil"/>
              <w:left w:val="nil"/>
              <w:bottom w:val="single" w:sz="4" w:space="0" w:color="000000"/>
              <w:right w:val="nil"/>
            </w:tcBorders>
            <w:shd w:val="clear" w:color="auto" w:fill="auto"/>
            <w:noWrap/>
            <w:vAlign w:val="bottom"/>
            <w:hideMark/>
          </w:tcPr>
          <w:p w:rsidR="0032429A" w:rsidRPr="00247D4B" w:rsidRDefault="0032429A" w:rsidP="0032429A">
            <w:pPr>
              <w:spacing w:after="0" w:line="240" w:lineRule="auto"/>
              <w:jc w:val="center"/>
              <w:rPr>
                <w:rFonts w:ascii="Calibri" w:eastAsia="Times New Roman" w:hAnsi="Calibri" w:cs="Times New Roman"/>
                <w:color w:val="000000"/>
                <w:lang w:eastAsia="en-AU"/>
              </w:rPr>
            </w:pPr>
            <w:r w:rsidRPr="00247D4B">
              <w:rPr>
                <w:rFonts w:ascii="Calibri" w:eastAsia="Times New Roman" w:hAnsi="Calibri" w:cs="Times New Roman"/>
                <w:color w:val="000000"/>
                <w:lang w:eastAsia="en-AU"/>
              </w:rPr>
              <w:t>5</w:t>
            </w:r>
          </w:p>
        </w:tc>
      </w:tr>
    </w:tbl>
    <w:p w:rsidR="0032429A" w:rsidRPr="008B7047" w:rsidRDefault="0032429A" w:rsidP="0032429A">
      <w:pPr>
        <w:rPr>
          <w:b/>
        </w:rPr>
      </w:pPr>
    </w:p>
    <w:p w:rsidR="00091987" w:rsidRPr="00091987" w:rsidRDefault="00091987" w:rsidP="00091987">
      <w:pPr>
        <w:ind w:left="567" w:hanging="567"/>
      </w:pPr>
    </w:p>
    <w:sectPr w:rsidR="00091987" w:rsidRPr="00091987" w:rsidSect="007E1393">
      <w:footerReference w:type="default" r:id="rId27"/>
      <w:pgSz w:w="11906" w:h="16838"/>
      <w:pgMar w:top="426" w:right="849" w:bottom="1418" w:left="993" w:header="708"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75" w:rsidRDefault="00695075" w:rsidP="00B10CFE">
      <w:pPr>
        <w:spacing w:after="0" w:line="240" w:lineRule="auto"/>
      </w:pPr>
      <w:r>
        <w:separator/>
      </w:r>
    </w:p>
  </w:endnote>
  <w:endnote w:type="continuationSeparator" w:id="0">
    <w:p w:rsidR="00695075" w:rsidRDefault="00695075" w:rsidP="00B1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27878"/>
      <w:docPartObj>
        <w:docPartGallery w:val="Page Numbers (Bottom of Page)"/>
        <w:docPartUnique/>
      </w:docPartObj>
    </w:sdtPr>
    <w:sdtEndPr>
      <w:rPr>
        <w:noProof/>
      </w:rPr>
    </w:sdtEndPr>
    <w:sdtContent>
      <w:p w:rsidR="00DB593B" w:rsidRDefault="00DB593B">
        <w:pPr>
          <w:pStyle w:val="Footer"/>
          <w:jc w:val="center"/>
        </w:pPr>
        <w:r>
          <w:fldChar w:fldCharType="begin"/>
        </w:r>
        <w:r>
          <w:instrText xml:space="preserve"> PAGE   \* MERGEFORMAT </w:instrText>
        </w:r>
        <w:r>
          <w:fldChar w:fldCharType="separate"/>
        </w:r>
        <w:r w:rsidR="00DA4637">
          <w:rPr>
            <w:noProof/>
          </w:rPr>
          <w:t>23</w:t>
        </w:r>
        <w:r>
          <w:rPr>
            <w:noProof/>
          </w:rPr>
          <w:fldChar w:fldCharType="end"/>
        </w:r>
      </w:p>
    </w:sdtContent>
  </w:sdt>
  <w:p w:rsidR="00DB593B" w:rsidRDefault="00DB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75" w:rsidRDefault="00695075" w:rsidP="00B10CFE">
      <w:pPr>
        <w:spacing w:after="0" w:line="240" w:lineRule="auto"/>
      </w:pPr>
      <w:r>
        <w:separator/>
      </w:r>
    </w:p>
  </w:footnote>
  <w:footnote w:type="continuationSeparator" w:id="0">
    <w:p w:rsidR="00695075" w:rsidRDefault="00695075" w:rsidP="00B10CFE">
      <w:pPr>
        <w:spacing w:after="0" w:line="240" w:lineRule="auto"/>
      </w:pPr>
      <w:r>
        <w:continuationSeparator/>
      </w:r>
    </w:p>
  </w:footnote>
  <w:footnote w:id="1">
    <w:p w:rsidR="00DB593B" w:rsidRPr="00577B1A" w:rsidRDefault="00DB593B" w:rsidP="00091987">
      <w:pPr>
        <w:pStyle w:val="FootnoteText"/>
      </w:pPr>
      <w:r>
        <w:rPr>
          <w:rStyle w:val="FootnoteReference"/>
        </w:rPr>
        <w:footnoteRef/>
      </w:r>
      <w:r>
        <w:t xml:space="preserve"> </w:t>
      </w:r>
      <w:r w:rsidRPr="00AB4BAC">
        <w:t xml:space="preserve">The negative values for </w:t>
      </w:r>
      <w:proofErr w:type="spellStart"/>
      <w:r w:rsidRPr="00AB4BAC">
        <w:t>Learnline</w:t>
      </w:r>
      <w:proofErr w:type="spellEnd"/>
      <w:r w:rsidRPr="00AB4BAC">
        <w:t xml:space="preserve"> for (Figs. 2(a); 3(a) below) were the result of the logarithmic transformation (base 10) of highly skewed distribution of the mean composite scores at each point on the x axis to the mean of the entire sample. The percentage Collaborate Participation were raw scores for the regressions (Figs. 2(b); 3(b) were log-transformed in the following section for comparison with counterfactual/potential outcomes</w:t>
      </w:r>
      <w:r>
        <w:t>)</w:t>
      </w:r>
      <w:r w:rsidRPr="00AB4BAC">
        <w:t>.</w:t>
      </w:r>
    </w:p>
  </w:footnote>
  <w:footnote w:id="2">
    <w:p w:rsidR="00DB593B" w:rsidRDefault="00DB593B" w:rsidP="00091987">
      <w:pPr>
        <w:pStyle w:val="FootnoteText"/>
      </w:pPr>
      <w:r>
        <w:rPr>
          <w:rStyle w:val="FootnoteReference"/>
        </w:rPr>
        <w:footnoteRef/>
      </w:r>
      <w:r>
        <w:t xml:space="preserve"> </w:t>
      </w:r>
      <w:r w:rsidRPr="00AB4BAC">
        <w:t xml:space="preserve">The output for full regression models with continuous treatment measures is available in the Technical Appendix Tables A.4 and A.5).  </w:t>
      </w:r>
    </w:p>
  </w:footnote>
  <w:footnote w:id="3">
    <w:p w:rsidR="00DB593B" w:rsidRDefault="00DB593B" w:rsidP="00091987">
      <w:pPr>
        <w:pStyle w:val="FootnoteText"/>
      </w:pPr>
      <w:r>
        <w:rPr>
          <w:rStyle w:val="FootnoteReference"/>
        </w:rPr>
        <w:footnoteRef/>
      </w:r>
      <w:r>
        <w:t xml:space="preserve"> Two Basis of Entry variables – “Professional Qualification” and “Other Basis” were defined as instrumental variable </w:t>
      </w:r>
      <w:proofErr w:type="spellStart"/>
      <w:r>
        <w:t>ie</w:t>
      </w:r>
      <w:proofErr w:type="spellEnd"/>
      <w:r>
        <w:t xml:space="preserve">  included in the treatment equation but omitted from the main (outcome) equation.</w:t>
      </w:r>
    </w:p>
  </w:footnote>
  <w:footnote w:id="4">
    <w:p w:rsidR="00DB593B" w:rsidRDefault="00DB593B" w:rsidP="00091987">
      <w:pPr>
        <w:pStyle w:val="FootnoteText"/>
      </w:pPr>
      <w:r>
        <w:rPr>
          <w:rStyle w:val="FootnoteReference"/>
        </w:rPr>
        <w:footnoteRef/>
      </w:r>
      <w:r>
        <w:t xml:space="preserve"> This statistic, whose value and sign indexes  the </w:t>
      </w:r>
      <w:proofErr w:type="spellStart"/>
      <w:r>
        <w:t>correletion</w:t>
      </w:r>
      <w:proofErr w:type="spellEnd"/>
      <w:r>
        <w:t xml:space="preserve"> between the </w:t>
      </w:r>
      <w:proofErr w:type="spellStart"/>
      <w:r>
        <w:t>the</w:t>
      </w:r>
      <w:proofErr w:type="spellEnd"/>
      <w:r>
        <w:t xml:space="preserve"> unexplained variance (residuals) in the models predictive outcome and to online activity, is the measure of  endogenous bias in the counterfactual model. It will be the subject of more detailed description and interpretation in future research. </w:t>
      </w:r>
    </w:p>
  </w:footnote>
  <w:footnote w:id="5">
    <w:p w:rsidR="00DB593B" w:rsidRDefault="00DB593B" w:rsidP="00091987">
      <w:pPr>
        <w:pStyle w:val="FootnoteText"/>
      </w:pPr>
      <w:r>
        <w:rPr>
          <w:rStyle w:val="FootnoteReference"/>
        </w:rPr>
        <w:footnoteRef/>
      </w:r>
      <w:r>
        <w:t xml:space="preserve"> Based on Appendix Table A.8</w:t>
      </w:r>
    </w:p>
  </w:footnote>
  <w:footnote w:id="6">
    <w:p w:rsidR="00DB593B" w:rsidRPr="008E3E61" w:rsidRDefault="00DB593B" w:rsidP="0032429A">
      <w:pPr>
        <w:pStyle w:val="FootnoteText"/>
      </w:pPr>
      <w:r>
        <w:rPr>
          <w:rStyle w:val="FootnoteReference"/>
        </w:rPr>
        <w:footnoteRef/>
      </w:r>
      <w:r>
        <w:t xml:space="preserve"> For tables shown in this Appendix the log-transformed values of Collaborate Participation (Percentage of available sessions viewed0 were used (see also footnote 1 in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3B" w:rsidRDefault="00DB593B">
    <w:pPr>
      <w:pStyle w:val="Header"/>
    </w:pPr>
  </w:p>
  <w:p w:rsidR="00DB593B" w:rsidRDefault="00DB5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3B" w:rsidRDefault="00DB593B">
    <w:pPr>
      <w:pStyle w:val="Header"/>
    </w:pPr>
  </w:p>
  <w:p w:rsidR="00DB593B" w:rsidRDefault="00DB5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06A"/>
    <w:multiLevelType w:val="hybridMultilevel"/>
    <w:tmpl w:val="977CD60E"/>
    <w:lvl w:ilvl="0" w:tplc="7F6CFA9E">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DC7647"/>
    <w:multiLevelType w:val="hybridMultilevel"/>
    <w:tmpl w:val="BFCEB8B4"/>
    <w:lvl w:ilvl="0" w:tplc="73060D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B957C6"/>
    <w:multiLevelType w:val="hybridMultilevel"/>
    <w:tmpl w:val="44A4DC6C"/>
    <w:lvl w:ilvl="0" w:tplc="FE580F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1D7162"/>
    <w:multiLevelType w:val="hybridMultilevel"/>
    <w:tmpl w:val="38A0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080F9C"/>
    <w:multiLevelType w:val="hybridMultilevel"/>
    <w:tmpl w:val="1C4297D6"/>
    <w:lvl w:ilvl="0" w:tplc="FE580F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6E402A"/>
    <w:multiLevelType w:val="hybridMultilevel"/>
    <w:tmpl w:val="88BAE5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7FF439F"/>
    <w:multiLevelType w:val="hybridMultilevel"/>
    <w:tmpl w:val="DED29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01"/>
    <w:rsid w:val="00020AEF"/>
    <w:rsid w:val="000229A7"/>
    <w:rsid w:val="00031E9B"/>
    <w:rsid w:val="000331F8"/>
    <w:rsid w:val="0003358E"/>
    <w:rsid w:val="00042ED5"/>
    <w:rsid w:val="0004698F"/>
    <w:rsid w:val="00051CBD"/>
    <w:rsid w:val="00052FF6"/>
    <w:rsid w:val="00054106"/>
    <w:rsid w:val="00060A42"/>
    <w:rsid w:val="000646BD"/>
    <w:rsid w:val="00067DB2"/>
    <w:rsid w:val="000748C3"/>
    <w:rsid w:val="00075639"/>
    <w:rsid w:val="0008277A"/>
    <w:rsid w:val="00084216"/>
    <w:rsid w:val="000904AB"/>
    <w:rsid w:val="00091987"/>
    <w:rsid w:val="00092211"/>
    <w:rsid w:val="000926E7"/>
    <w:rsid w:val="0009517A"/>
    <w:rsid w:val="00095350"/>
    <w:rsid w:val="000A0191"/>
    <w:rsid w:val="000B0791"/>
    <w:rsid w:val="000B1DDF"/>
    <w:rsid w:val="000B4CB8"/>
    <w:rsid w:val="000B61AE"/>
    <w:rsid w:val="000B6B5C"/>
    <w:rsid w:val="000C0ADD"/>
    <w:rsid w:val="000C2C7C"/>
    <w:rsid w:val="000C3087"/>
    <w:rsid w:val="000C33E2"/>
    <w:rsid w:val="000C4F37"/>
    <w:rsid w:val="000D4AEE"/>
    <w:rsid w:val="000D78A7"/>
    <w:rsid w:val="000E359A"/>
    <w:rsid w:val="000E559F"/>
    <w:rsid w:val="000E6D39"/>
    <w:rsid w:val="000E6DC5"/>
    <w:rsid w:val="000F39C7"/>
    <w:rsid w:val="000F62D8"/>
    <w:rsid w:val="000F6313"/>
    <w:rsid w:val="00102001"/>
    <w:rsid w:val="001114E2"/>
    <w:rsid w:val="001229A8"/>
    <w:rsid w:val="001230C3"/>
    <w:rsid w:val="00127757"/>
    <w:rsid w:val="001317DA"/>
    <w:rsid w:val="00131B96"/>
    <w:rsid w:val="001326E7"/>
    <w:rsid w:val="001511E6"/>
    <w:rsid w:val="00151A52"/>
    <w:rsid w:val="0015458F"/>
    <w:rsid w:val="00164296"/>
    <w:rsid w:val="0016459E"/>
    <w:rsid w:val="00170B9F"/>
    <w:rsid w:val="00177CF8"/>
    <w:rsid w:val="00181B34"/>
    <w:rsid w:val="00192FB6"/>
    <w:rsid w:val="00194997"/>
    <w:rsid w:val="001962AA"/>
    <w:rsid w:val="001A341A"/>
    <w:rsid w:val="001A551D"/>
    <w:rsid w:val="001B1C41"/>
    <w:rsid w:val="001B38A2"/>
    <w:rsid w:val="001C64A7"/>
    <w:rsid w:val="001C761E"/>
    <w:rsid w:val="001D15A0"/>
    <w:rsid w:val="001D3A4C"/>
    <w:rsid w:val="001D3EC5"/>
    <w:rsid w:val="001E4956"/>
    <w:rsid w:val="001E5C3A"/>
    <w:rsid w:val="001E6954"/>
    <w:rsid w:val="001F23AB"/>
    <w:rsid w:val="001F61A7"/>
    <w:rsid w:val="00203164"/>
    <w:rsid w:val="002113B8"/>
    <w:rsid w:val="0021420B"/>
    <w:rsid w:val="00252CCA"/>
    <w:rsid w:val="00261717"/>
    <w:rsid w:val="00263F15"/>
    <w:rsid w:val="0027396F"/>
    <w:rsid w:val="002747A2"/>
    <w:rsid w:val="00275AF9"/>
    <w:rsid w:val="002808FE"/>
    <w:rsid w:val="00280C02"/>
    <w:rsid w:val="00292D11"/>
    <w:rsid w:val="00292F0A"/>
    <w:rsid w:val="00296CF6"/>
    <w:rsid w:val="002A17D4"/>
    <w:rsid w:val="002A5AFD"/>
    <w:rsid w:val="002B431B"/>
    <w:rsid w:val="002B6C8A"/>
    <w:rsid w:val="002C40FD"/>
    <w:rsid w:val="002C46D2"/>
    <w:rsid w:val="002D30B3"/>
    <w:rsid w:val="002D6BEF"/>
    <w:rsid w:val="002E2643"/>
    <w:rsid w:val="002E559A"/>
    <w:rsid w:val="002F72EA"/>
    <w:rsid w:val="002F77E1"/>
    <w:rsid w:val="003022CA"/>
    <w:rsid w:val="00303B50"/>
    <w:rsid w:val="00310634"/>
    <w:rsid w:val="003202B8"/>
    <w:rsid w:val="003209E7"/>
    <w:rsid w:val="003222C9"/>
    <w:rsid w:val="0032429A"/>
    <w:rsid w:val="0033559D"/>
    <w:rsid w:val="003376C2"/>
    <w:rsid w:val="00340DA0"/>
    <w:rsid w:val="00352452"/>
    <w:rsid w:val="00352529"/>
    <w:rsid w:val="00353F06"/>
    <w:rsid w:val="00356B63"/>
    <w:rsid w:val="0036128B"/>
    <w:rsid w:val="003738FE"/>
    <w:rsid w:val="00382C47"/>
    <w:rsid w:val="00393FFF"/>
    <w:rsid w:val="003A1E69"/>
    <w:rsid w:val="003C6CE7"/>
    <w:rsid w:val="003D0F46"/>
    <w:rsid w:val="003D1897"/>
    <w:rsid w:val="003D7ED8"/>
    <w:rsid w:val="003E33F8"/>
    <w:rsid w:val="003E5EF2"/>
    <w:rsid w:val="003E7308"/>
    <w:rsid w:val="003F476E"/>
    <w:rsid w:val="00402C04"/>
    <w:rsid w:val="00405254"/>
    <w:rsid w:val="004053AE"/>
    <w:rsid w:val="004121F8"/>
    <w:rsid w:val="00416691"/>
    <w:rsid w:val="0042194C"/>
    <w:rsid w:val="0042577A"/>
    <w:rsid w:val="004268A0"/>
    <w:rsid w:val="00433367"/>
    <w:rsid w:val="0043499B"/>
    <w:rsid w:val="00436355"/>
    <w:rsid w:val="0044165B"/>
    <w:rsid w:val="00451B55"/>
    <w:rsid w:val="00453248"/>
    <w:rsid w:val="004704CD"/>
    <w:rsid w:val="00471A06"/>
    <w:rsid w:val="00474CFC"/>
    <w:rsid w:val="00483747"/>
    <w:rsid w:val="004851AC"/>
    <w:rsid w:val="00485B97"/>
    <w:rsid w:val="00493A4C"/>
    <w:rsid w:val="004964F9"/>
    <w:rsid w:val="004973D4"/>
    <w:rsid w:val="004A1902"/>
    <w:rsid w:val="004A1F9E"/>
    <w:rsid w:val="004A2DEB"/>
    <w:rsid w:val="004B613A"/>
    <w:rsid w:val="004C27E8"/>
    <w:rsid w:val="004C2958"/>
    <w:rsid w:val="004C2C31"/>
    <w:rsid w:val="004C3B5F"/>
    <w:rsid w:val="004C666F"/>
    <w:rsid w:val="004D1DEC"/>
    <w:rsid w:val="004D5897"/>
    <w:rsid w:val="004E28A8"/>
    <w:rsid w:val="004F0A8E"/>
    <w:rsid w:val="004F1395"/>
    <w:rsid w:val="004F1ED9"/>
    <w:rsid w:val="004F5F8D"/>
    <w:rsid w:val="00506C55"/>
    <w:rsid w:val="00512521"/>
    <w:rsid w:val="00513A2D"/>
    <w:rsid w:val="005257E7"/>
    <w:rsid w:val="00532E0C"/>
    <w:rsid w:val="00535513"/>
    <w:rsid w:val="005373DC"/>
    <w:rsid w:val="00544714"/>
    <w:rsid w:val="00553CCB"/>
    <w:rsid w:val="0055587F"/>
    <w:rsid w:val="00561956"/>
    <w:rsid w:val="005655F2"/>
    <w:rsid w:val="005709D5"/>
    <w:rsid w:val="00572F5D"/>
    <w:rsid w:val="00574ED4"/>
    <w:rsid w:val="00576F08"/>
    <w:rsid w:val="00596909"/>
    <w:rsid w:val="005A08D3"/>
    <w:rsid w:val="005B6981"/>
    <w:rsid w:val="005C16B3"/>
    <w:rsid w:val="005C16D1"/>
    <w:rsid w:val="005C228E"/>
    <w:rsid w:val="005C6C44"/>
    <w:rsid w:val="005C7FCA"/>
    <w:rsid w:val="005D606E"/>
    <w:rsid w:val="005E08B5"/>
    <w:rsid w:val="005E1808"/>
    <w:rsid w:val="005E1A73"/>
    <w:rsid w:val="005E4027"/>
    <w:rsid w:val="005E43FD"/>
    <w:rsid w:val="005E796E"/>
    <w:rsid w:val="005F2E38"/>
    <w:rsid w:val="005F46F6"/>
    <w:rsid w:val="00603BC4"/>
    <w:rsid w:val="00604CA6"/>
    <w:rsid w:val="00605530"/>
    <w:rsid w:val="00611294"/>
    <w:rsid w:val="006122FF"/>
    <w:rsid w:val="0061453C"/>
    <w:rsid w:val="00615269"/>
    <w:rsid w:val="00620D7D"/>
    <w:rsid w:val="0063483B"/>
    <w:rsid w:val="006400C6"/>
    <w:rsid w:val="00640F8A"/>
    <w:rsid w:val="00641311"/>
    <w:rsid w:val="00642868"/>
    <w:rsid w:val="00644917"/>
    <w:rsid w:val="006523CD"/>
    <w:rsid w:val="006544E6"/>
    <w:rsid w:val="00662E85"/>
    <w:rsid w:val="00662F57"/>
    <w:rsid w:val="00667E4C"/>
    <w:rsid w:val="00676731"/>
    <w:rsid w:val="00682BD4"/>
    <w:rsid w:val="00683788"/>
    <w:rsid w:val="00683FA2"/>
    <w:rsid w:val="006852A8"/>
    <w:rsid w:val="00691C36"/>
    <w:rsid w:val="00691F72"/>
    <w:rsid w:val="00694E32"/>
    <w:rsid w:val="00695075"/>
    <w:rsid w:val="006962F2"/>
    <w:rsid w:val="00697D50"/>
    <w:rsid w:val="006A14A5"/>
    <w:rsid w:val="006A2AAE"/>
    <w:rsid w:val="006A7F87"/>
    <w:rsid w:val="006B55B3"/>
    <w:rsid w:val="006B570E"/>
    <w:rsid w:val="006C69DB"/>
    <w:rsid w:val="006E25BC"/>
    <w:rsid w:val="006E3B5C"/>
    <w:rsid w:val="006F140A"/>
    <w:rsid w:val="006F5B3D"/>
    <w:rsid w:val="00703E29"/>
    <w:rsid w:val="007132FE"/>
    <w:rsid w:val="00713741"/>
    <w:rsid w:val="00715E8E"/>
    <w:rsid w:val="00725EEA"/>
    <w:rsid w:val="00742E1E"/>
    <w:rsid w:val="00743BB7"/>
    <w:rsid w:val="00753AF8"/>
    <w:rsid w:val="00755E13"/>
    <w:rsid w:val="007565DD"/>
    <w:rsid w:val="0076698A"/>
    <w:rsid w:val="0077444E"/>
    <w:rsid w:val="0077514F"/>
    <w:rsid w:val="0077711D"/>
    <w:rsid w:val="0078606D"/>
    <w:rsid w:val="00796330"/>
    <w:rsid w:val="007A726E"/>
    <w:rsid w:val="007C251B"/>
    <w:rsid w:val="007C31CB"/>
    <w:rsid w:val="007C3EFE"/>
    <w:rsid w:val="007C5785"/>
    <w:rsid w:val="007C5D56"/>
    <w:rsid w:val="007D7340"/>
    <w:rsid w:val="007E0898"/>
    <w:rsid w:val="007E1393"/>
    <w:rsid w:val="007E477D"/>
    <w:rsid w:val="007E5075"/>
    <w:rsid w:val="007E5F3E"/>
    <w:rsid w:val="007E6FDA"/>
    <w:rsid w:val="007F5548"/>
    <w:rsid w:val="007F5B3B"/>
    <w:rsid w:val="007F720C"/>
    <w:rsid w:val="008209C9"/>
    <w:rsid w:val="00822BFD"/>
    <w:rsid w:val="008248B7"/>
    <w:rsid w:val="00830FB8"/>
    <w:rsid w:val="008320F9"/>
    <w:rsid w:val="00834A9F"/>
    <w:rsid w:val="0084078F"/>
    <w:rsid w:val="00840C6F"/>
    <w:rsid w:val="008458C3"/>
    <w:rsid w:val="008468C2"/>
    <w:rsid w:val="00853E03"/>
    <w:rsid w:val="00860216"/>
    <w:rsid w:val="00860833"/>
    <w:rsid w:val="0087672F"/>
    <w:rsid w:val="008818FB"/>
    <w:rsid w:val="00884E3B"/>
    <w:rsid w:val="0088675F"/>
    <w:rsid w:val="00891AD9"/>
    <w:rsid w:val="008A264E"/>
    <w:rsid w:val="008A7D7E"/>
    <w:rsid w:val="008B2B6C"/>
    <w:rsid w:val="008B30C6"/>
    <w:rsid w:val="008B6C50"/>
    <w:rsid w:val="008C14C3"/>
    <w:rsid w:val="008C5374"/>
    <w:rsid w:val="008C6AC0"/>
    <w:rsid w:val="008D464D"/>
    <w:rsid w:val="008D74AB"/>
    <w:rsid w:val="008E228E"/>
    <w:rsid w:val="008F1CF5"/>
    <w:rsid w:val="008F257F"/>
    <w:rsid w:val="008F4D63"/>
    <w:rsid w:val="009017CA"/>
    <w:rsid w:val="00912130"/>
    <w:rsid w:val="00915BF0"/>
    <w:rsid w:val="00917489"/>
    <w:rsid w:val="0092060F"/>
    <w:rsid w:val="00925FE5"/>
    <w:rsid w:val="00935A03"/>
    <w:rsid w:val="009404D7"/>
    <w:rsid w:val="00943BF3"/>
    <w:rsid w:val="009448F9"/>
    <w:rsid w:val="009658B5"/>
    <w:rsid w:val="00971177"/>
    <w:rsid w:val="00973575"/>
    <w:rsid w:val="00980277"/>
    <w:rsid w:val="009816C7"/>
    <w:rsid w:val="00981972"/>
    <w:rsid w:val="00985CE7"/>
    <w:rsid w:val="00985FFE"/>
    <w:rsid w:val="0099229B"/>
    <w:rsid w:val="009A1BAC"/>
    <w:rsid w:val="009B6BAE"/>
    <w:rsid w:val="009C4B23"/>
    <w:rsid w:val="009C5EAB"/>
    <w:rsid w:val="009D07D2"/>
    <w:rsid w:val="009D3CC7"/>
    <w:rsid w:val="009D4AD7"/>
    <w:rsid w:val="009D55FF"/>
    <w:rsid w:val="009D746A"/>
    <w:rsid w:val="009F26C1"/>
    <w:rsid w:val="009F6B6C"/>
    <w:rsid w:val="00A02B81"/>
    <w:rsid w:val="00A0488D"/>
    <w:rsid w:val="00A14987"/>
    <w:rsid w:val="00A22AB4"/>
    <w:rsid w:val="00A25B47"/>
    <w:rsid w:val="00A26C8A"/>
    <w:rsid w:val="00A307D0"/>
    <w:rsid w:val="00A4396B"/>
    <w:rsid w:val="00A53200"/>
    <w:rsid w:val="00A541D0"/>
    <w:rsid w:val="00A578B0"/>
    <w:rsid w:val="00A6366C"/>
    <w:rsid w:val="00A63BA9"/>
    <w:rsid w:val="00A64516"/>
    <w:rsid w:val="00A73DF3"/>
    <w:rsid w:val="00A74CBA"/>
    <w:rsid w:val="00A844F8"/>
    <w:rsid w:val="00A84501"/>
    <w:rsid w:val="00A856BF"/>
    <w:rsid w:val="00A8686B"/>
    <w:rsid w:val="00AA2EDE"/>
    <w:rsid w:val="00AA3AEA"/>
    <w:rsid w:val="00AA4883"/>
    <w:rsid w:val="00AA5062"/>
    <w:rsid w:val="00AB7DEC"/>
    <w:rsid w:val="00AC5F71"/>
    <w:rsid w:val="00AD2708"/>
    <w:rsid w:val="00AD52C0"/>
    <w:rsid w:val="00AD77E3"/>
    <w:rsid w:val="00AE7393"/>
    <w:rsid w:val="00AF34EF"/>
    <w:rsid w:val="00AF3863"/>
    <w:rsid w:val="00B002AA"/>
    <w:rsid w:val="00B10CFE"/>
    <w:rsid w:val="00B12188"/>
    <w:rsid w:val="00B12423"/>
    <w:rsid w:val="00B17407"/>
    <w:rsid w:val="00B261B3"/>
    <w:rsid w:val="00B27058"/>
    <w:rsid w:val="00B319D6"/>
    <w:rsid w:val="00B3374C"/>
    <w:rsid w:val="00B37456"/>
    <w:rsid w:val="00B430C6"/>
    <w:rsid w:val="00B448D8"/>
    <w:rsid w:val="00B508C2"/>
    <w:rsid w:val="00B55F0B"/>
    <w:rsid w:val="00B62F8E"/>
    <w:rsid w:val="00B70286"/>
    <w:rsid w:val="00B73680"/>
    <w:rsid w:val="00B754E2"/>
    <w:rsid w:val="00B82BC6"/>
    <w:rsid w:val="00B859AC"/>
    <w:rsid w:val="00B9212F"/>
    <w:rsid w:val="00B96518"/>
    <w:rsid w:val="00BA4359"/>
    <w:rsid w:val="00BB4B1F"/>
    <w:rsid w:val="00BB745A"/>
    <w:rsid w:val="00BB79B5"/>
    <w:rsid w:val="00BC37CF"/>
    <w:rsid w:val="00BD6FC4"/>
    <w:rsid w:val="00BD6FF9"/>
    <w:rsid w:val="00BD7B38"/>
    <w:rsid w:val="00BE1A56"/>
    <w:rsid w:val="00BE3B6B"/>
    <w:rsid w:val="00BE5363"/>
    <w:rsid w:val="00BF1948"/>
    <w:rsid w:val="00BF4D79"/>
    <w:rsid w:val="00BF57EC"/>
    <w:rsid w:val="00C10C6C"/>
    <w:rsid w:val="00C15735"/>
    <w:rsid w:val="00C25CEF"/>
    <w:rsid w:val="00C42FE1"/>
    <w:rsid w:val="00C47E48"/>
    <w:rsid w:val="00C50B3F"/>
    <w:rsid w:val="00C51370"/>
    <w:rsid w:val="00C53C31"/>
    <w:rsid w:val="00C574C4"/>
    <w:rsid w:val="00C650D6"/>
    <w:rsid w:val="00C749D4"/>
    <w:rsid w:val="00C74A02"/>
    <w:rsid w:val="00C76398"/>
    <w:rsid w:val="00C9709F"/>
    <w:rsid w:val="00C970BF"/>
    <w:rsid w:val="00C97128"/>
    <w:rsid w:val="00CB25F1"/>
    <w:rsid w:val="00CC5B61"/>
    <w:rsid w:val="00CC630C"/>
    <w:rsid w:val="00CD2A20"/>
    <w:rsid w:val="00CD7D34"/>
    <w:rsid w:val="00CE31A8"/>
    <w:rsid w:val="00CE5889"/>
    <w:rsid w:val="00CF032E"/>
    <w:rsid w:val="00CF46B6"/>
    <w:rsid w:val="00CF6634"/>
    <w:rsid w:val="00D02CFE"/>
    <w:rsid w:val="00D05EEF"/>
    <w:rsid w:val="00D11DF2"/>
    <w:rsid w:val="00D16F2E"/>
    <w:rsid w:val="00D22868"/>
    <w:rsid w:val="00D22C57"/>
    <w:rsid w:val="00D234AA"/>
    <w:rsid w:val="00D25B08"/>
    <w:rsid w:val="00D27336"/>
    <w:rsid w:val="00D37FE4"/>
    <w:rsid w:val="00D43682"/>
    <w:rsid w:val="00D458D5"/>
    <w:rsid w:val="00D46479"/>
    <w:rsid w:val="00D642BB"/>
    <w:rsid w:val="00D65C27"/>
    <w:rsid w:val="00D76F18"/>
    <w:rsid w:val="00D77991"/>
    <w:rsid w:val="00D8400E"/>
    <w:rsid w:val="00D854ED"/>
    <w:rsid w:val="00D85EB4"/>
    <w:rsid w:val="00D90E86"/>
    <w:rsid w:val="00D93436"/>
    <w:rsid w:val="00D93B1C"/>
    <w:rsid w:val="00D97A7D"/>
    <w:rsid w:val="00D97AE3"/>
    <w:rsid w:val="00DA4357"/>
    <w:rsid w:val="00DA4637"/>
    <w:rsid w:val="00DA5F4B"/>
    <w:rsid w:val="00DA640E"/>
    <w:rsid w:val="00DA647F"/>
    <w:rsid w:val="00DA64BB"/>
    <w:rsid w:val="00DA7689"/>
    <w:rsid w:val="00DA7D66"/>
    <w:rsid w:val="00DB3E19"/>
    <w:rsid w:val="00DB593B"/>
    <w:rsid w:val="00DB6CD1"/>
    <w:rsid w:val="00DC2FB0"/>
    <w:rsid w:val="00DC42D7"/>
    <w:rsid w:val="00DC5481"/>
    <w:rsid w:val="00DD0CE4"/>
    <w:rsid w:val="00DD60B6"/>
    <w:rsid w:val="00DF693B"/>
    <w:rsid w:val="00E010C8"/>
    <w:rsid w:val="00E02025"/>
    <w:rsid w:val="00E0259E"/>
    <w:rsid w:val="00E103B0"/>
    <w:rsid w:val="00E26BAF"/>
    <w:rsid w:val="00E30078"/>
    <w:rsid w:val="00E335C6"/>
    <w:rsid w:val="00E40CFE"/>
    <w:rsid w:val="00E4390D"/>
    <w:rsid w:val="00E5402B"/>
    <w:rsid w:val="00E57AFC"/>
    <w:rsid w:val="00E71BF3"/>
    <w:rsid w:val="00E7792C"/>
    <w:rsid w:val="00E8602C"/>
    <w:rsid w:val="00E87CD8"/>
    <w:rsid w:val="00E91D32"/>
    <w:rsid w:val="00E92B96"/>
    <w:rsid w:val="00EA0972"/>
    <w:rsid w:val="00EA7826"/>
    <w:rsid w:val="00EB370B"/>
    <w:rsid w:val="00EC08BF"/>
    <w:rsid w:val="00EC5BFC"/>
    <w:rsid w:val="00ED3790"/>
    <w:rsid w:val="00ED3EE0"/>
    <w:rsid w:val="00EE0946"/>
    <w:rsid w:val="00EE250A"/>
    <w:rsid w:val="00EF0863"/>
    <w:rsid w:val="00F060DB"/>
    <w:rsid w:val="00F1193C"/>
    <w:rsid w:val="00F12B92"/>
    <w:rsid w:val="00F1662F"/>
    <w:rsid w:val="00F2612F"/>
    <w:rsid w:val="00F27E78"/>
    <w:rsid w:val="00F548B5"/>
    <w:rsid w:val="00F56734"/>
    <w:rsid w:val="00F7152B"/>
    <w:rsid w:val="00F77EAF"/>
    <w:rsid w:val="00F82F4D"/>
    <w:rsid w:val="00F84677"/>
    <w:rsid w:val="00F85842"/>
    <w:rsid w:val="00F870CC"/>
    <w:rsid w:val="00F90E6C"/>
    <w:rsid w:val="00F92CAA"/>
    <w:rsid w:val="00F92EDD"/>
    <w:rsid w:val="00FB1ECD"/>
    <w:rsid w:val="00FB6850"/>
    <w:rsid w:val="00FC58E5"/>
    <w:rsid w:val="00FC7C29"/>
    <w:rsid w:val="00FD2D0E"/>
    <w:rsid w:val="00FE67AE"/>
    <w:rsid w:val="00FE7463"/>
    <w:rsid w:val="00FF28E8"/>
    <w:rsid w:val="00FF59A0"/>
    <w:rsid w:val="00FF5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DA7689"/>
    <w:rPr>
      <w:rFonts w:ascii="Calibri Light" w:hAnsi="Calibri Light"/>
    </w:rPr>
  </w:style>
  <w:style w:type="paragraph" w:styleId="Heading1">
    <w:name w:val="heading 1"/>
    <w:basedOn w:val="Normal"/>
    <w:next w:val="Normal"/>
    <w:link w:val="Heading1Char"/>
    <w:uiPriority w:val="9"/>
    <w:qFormat/>
    <w:rsid w:val="004C2C31"/>
    <w:pPr>
      <w:keepNext/>
      <w:keepLines/>
      <w:spacing w:before="240" w:after="120"/>
      <w:outlineLvl w:val="0"/>
    </w:pPr>
    <w:rPr>
      <w:rFonts w:eastAsiaTheme="majorEastAsia" w:cstheme="majorBidi"/>
      <w:b/>
      <w:caps/>
      <w:sz w:val="28"/>
      <w:szCs w:val="32"/>
    </w:rPr>
  </w:style>
  <w:style w:type="paragraph" w:styleId="Heading2">
    <w:name w:val="heading 2"/>
    <w:basedOn w:val="Heading1"/>
    <w:next w:val="Normal"/>
    <w:link w:val="Heading2Char"/>
    <w:uiPriority w:val="9"/>
    <w:unhideWhenUsed/>
    <w:qFormat/>
    <w:rsid w:val="005F46F6"/>
    <w:pPr>
      <w:spacing w:before="200" w:after="200"/>
      <w:outlineLvl w:val="1"/>
    </w:pPr>
    <w:rPr>
      <w:bCs/>
      <w:caps w:val="0"/>
      <w:sz w:val="26"/>
      <w:szCs w:val="26"/>
    </w:rPr>
  </w:style>
  <w:style w:type="paragraph" w:styleId="Heading3">
    <w:name w:val="heading 3"/>
    <w:basedOn w:val="Normal"/>
    <w:next w:val="Normal"/>
    <w:link w:val="Heading3Char"/>
    <w:uiPriority w:val="9"/>
    <w:unhideWhenUsed/>
    <w:qFormat/>
    <w:rsid w:val="005F46F6"/>
    <w:pPr>
      <w:keepNext/>
      <w:keepLines/>
      <w:spacing w:before="200" w:after="12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5F46F6"/>
    <w:pPr>
      <w:keepNext/>
      <w:keepLines/>
      <w:spacing w:before="60" w:after="120"/>
      <w:outlineLvl w:val="3"/>
    </w:pPr>
    <w:rPr>
      <w:rFonts w:eastAsiaTheme="majorEastAsia" w:cstheme="majorBidi"/>
      <w:b/>
      <w:bCs/>
      <w:iCs/>
    </w:rPr>
  </w:style>
  <w:style w:type="paragraph" w:styleId="Heading5">
    <w:name w:val="heading 5"/>
    <w:basedOn w:val="Heading4"/>
    <w:next w:val="Normal"/>
    <w:link w:val="Heading5Char"/>
    <w:uiPriority w:val="9"/>
    <w:unhideWhenUsed/>
    <w:qFormat/>
    <w:rsid w:val="005F46F6"/>
    <w:pPr>
      <w:spacing w:before="20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FE"/>
  </w:style>
  <w:style w:type="paragraph" w:styleId="Footer">
    <w:name w:val="footer"/>
    <w:basedOn w:val="Normal"/>
    <w:link w:val="FooterChar"/>
    <w:uiPriority w:val="99"/>
    <w:unhideWhenUsed/>
    <w:rsid w:val="00B1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FE"/>
  </w:style>
  <w:style w:type="table" w:styleId="TableGrid">
    <w:name w:val="Table Grid"/>
    <w:basedOn w:val="TableNormal"/>
    <w:uiPriority w:val="59"/>
    <w:rsid w:val="00B1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C31"/>
    <w:rPr>
      <w:rFonts w:ascii="Calibri Light" w:eastAsiaTheme="majorEastAsia" w:hAnsi="Calibri Light" w:cstheme="majorBidi"/>
      <w:b/>
      <w:caps/>
      <w:sz w:val="28"/>
      <w:szCs w:val="32"/>
    </w:rPr>
  </w:style>
  <w:style w:type="paragraph" w:styleId="Subtitle">
    <w:name w:val="Subtitle"/>
    <w:basedOn w:val="Normal"/>
    <w:next w:val="Normal"/>
    <w:link w:val="SubtitleChar"/>
    <w:uiPriority w:val="11"/>
    <w:rsid w:val="006544E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544E6"/>
    <w:rPr>
      <w:rFonts w:eastAsiaTheme="minorEastAsia"/>
      <w:color w:val="5A5A5A" w:themeColor="text1" w:themeTint="A5"/>
      <w:spacing w:val="15"/>
    </w:rPr>
  </w:style>
  <w:style w:type="character" w:styleId="IntenseEmphasis">
    <w:name w:val="Intense Emphasis"/>
    <w:basedOn w:val="DefaultParagraphFont"/>
    <w:uiPriority w:val="21"/>
    <w:rsid w:val="006544E6"/>
    <w:rPr>
      <w:i/>
      <w:iCs/>
      <w:color w:val="4F81BD" w:themeColor="accent1"/>
    </w:rPr>
  </w:style>
  <w:style w:type="character" w:customStyle="1" w:styleId="Heading2Char">
    <w:name w:val="Heading 2 Char"/>
    <w:basedOn w:val="DefaultParagraphFont"/>
    <w:link w:val="Heading2"/>
    <w:uiPriority w:val="9"/>
    <w:rsid w:val="005F46F6"/>
    <w:rPr>
      <w:rFonts w:ascii="Calibri Light" w:eastAsiaTheme="majorEastAsia" w:hAnsi="Calibri Light" w:cstheme="majorBidi"/>
      <w:b/>
      <w:bCs/>
      <w:sz w:val="26"/>
      <w:szCs w:val="26"/>
    </w:rPr>
  </w:style>
  <w:style w:type="character" w:customStyle="1" w:styleId="Heading3Char">
    <w:name w:val="Heading 3 Char"/>
    <w:basedOn w:val="DefaultParagraphFont"/>
    <w:link w:val="Heading3"/>
    <w:uiPriority w:val="9"/>
    <w:rsid w:val="005F46F6"/>
    <w:rPr>
      <w:rFonts w:ascii="Calibri Light" w:eastAsiaTheme="majorEastAsia" w:hAnsi="Calibri Light" w:cstheme="majorBidi"/>
      <w:b/>
      <w:bCs/>
      <w:sz w:val="24"/>
    </w:rPr>
  </w:style>
  <w:style w:type="character" w:customStyle="1" w:styleId="Heading4Char">
    <w:name w:val="Heading 4 Char"/>
    <w:basedOn w:val="DefaultParagraphFont"/>
    <w:link w:val="Heading4"/>
    <w:uiPriority w:val="9"/>
    <w:rsid w:val="005F46F6"/>
    <w:rPr>
      <w:rFonts w:ascii="Calibri Light" w:eastAsiaTheme="majorEastAsia" w:hAnsi="Calibri Light" w:cstheme="majorBidi"/>
      <w:b/>
      <w:bCs/>
      <w:iCs/>
    </w:rPr>
  </w:style>
  <w:style w:type="paragraph" w:styleId="ListParagraph">
    <w:name w:val="List Paragraph"/>
    <w:basedOn w:val="Normal"/>
    <w:uiPriority w:val="34"/>
    <w:qFormat/>
    <w:rsid w:val="00F92EDD"/>
    <w:pPr>
      <w:spacing w:after="120" w:line="240" w:lineRule="auto"/>
      <w:ind w:left="720"/>
    </w:pPr>
  </w:style>
  <w:style w:type="paragraph" w:customStyle="1" w:styleId="WW-Default">
    <w:name w:val="WW-Default"/>
    <w:rsid w:val="007132FE"/>
    <w:pPr>
      <w:suppressAutoHyphens/>
      <w:autoSpaceDE w:val="0"/>
      <w:spacing w:after="0" w:line="240" w:lineRule="auto"/>
    </w:pPr>
    <w:rPr>
      <w:rFonts w:ascii="Verdana" w:eastAsia="Arial" w:hAnsi="Verdana" w:cs="Verdana"/>
      <w:color w:val="000000"/>
      <w:sz w:val="24"/>
      <w:szCs w:val="24"/>
      <w:lang w:eastAsia="ar-SA"/>
    </w:rPr>
  </w:style>
  <w:style w:type="paragraph" w:styleId="BalloonText">
    <w:name w:val="Balloon Text"/>
    <w:basedOn w:val="Normal"/>
    <w:link w:val="BalloonTextChar"/>
    <w:uiPriority w:val="99"/>
    <w:semiHidden/>
    <w:unhideWhenUsed/>
    <w:rsid w:val="005A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D3"/>
    <w:rPr>
      <w:rFonts w:ascii="Tahoma" w:hAnsi="Tahoma" w:cs="Tahoma"/>
      <w:sz w:val="16"/>
      <w:szCs w:val="16"/>
    </w:rPr>
  </w:style>
  <w:style w:type="paragraph" w:customStyle="1" w:styleId="Bullets">
    <w:name w:val="Bullets"/>
    <w:basedOn w:val="Normal"/>
    <w:qFormat/>
    <w:rsid w:val="003C6CE7"/>
    <w:pPr>
      <w:numPr>
        <w:numId w:val="1"/>
      </w:numPr>
      <w:spacing w:after="120" w:line="240" w:lineRule="auto"/>
    </w:pPr>
  </w:style>
  <w:style w:type="paragraph" w:customStyle="1" w:styleId="Figure">
    <w:name w:val="Figure"/>
    <w:basedOn w:val="Normal"/>
    <w:qFormat/>
    <w:rsid w:val="00BE3B6B"/>
    <w:pPr>
      <w:spacing w:before="60" w:after="120" w:line="240" w:lineRule="auto"/>
      <w:ind w:left="340"/>
    </w:pPr>
    <w:rPr>
      <w:rFonts w:asciiTheme="minorHAnsi" w:hAnsiTheme="minorHAnsi" w:cstheme="minorHAnsi"/>
      <w:b/>
      <w:sz w:val="20"/>
    </w:rPr>
  </w:style>
  <w:style w:type="paragraph" w:styleId="TableofFigures">
    <w:name w:val="table of figures"/>
    <w:next w:val="Normal"/>
    <w:uiPriority w:val="99"/>
    <w:unhideWhenUsed/>
    <w:rsid w:val="00C15735"/>
    <w:pPr>
      <w:spacing w:after="60"/>
      <w:ind w:left="454"/>
    </w:pPr>
    <w:rPr>
      <w:rFonts w:cstheme="minorHAnsi"/>
      <w:sz w:val="20"/>
    </w:rPr>
  </w:style>
  <w:style w:type="character" w:styleId="Hyperlink">
    <w:name w:val="Hyperlink"/>
    <w:basedOn w:val="DefaultParagraphFont"/>
    <w:uiPriority w:val="99"/>
    <w:unhideWhenUsed/>
    <w:rsid w:val="003738FE"/>
    <w:rPr>
      <w:color w:val="0000FF" w:themeColor="hyperlink"/>
      <w:u w:val="single"/>
    </w:rPr>
  </w:style>
  <w:style w:type="paragraph" w:styleId="TOCHeading">
    <w:name w:val="TOC Heading"/>
    <w:basedOn w:val="Heading1"/>
    <w:next w:val="Normal"/>
    <w:uiPriority w:val="39"/>
    <w:semiHidden/>
    <w:unhideWhenUsed/>
    <w:qFormat/>
    <w:rsid w:val="0063483B"/>
    <w:pPr>
      <w:spacing w:before="480"/>
      <w:outlineLvl w:val="9"/>
    </w:pPr>
    <w:rPr>
      <w:rFonts w:asciiTheme="majorHAnsi" w:hAnsiTheme="majorHAnsi"/>
      <w:bCs/>
      <w:caps w:val="0"/>
      <w:color w:val="365F91" w:themeColor="accent1" w:themeShade="BF"/>
      <w:szCs w:val="28"/>
      <w:lang w:val="en-US" w:eastAsia="ja-JP"/>
    </w:rPr>
  </w:style>
  <w:style w:type="paragraph" w:styleId="TOC1">
    <w:name w:val="toc 1"/>
    <w:basedOn w:val="Normal"/>
    <w:next w:val="Normal"/>
    <w:autoRedefine/>
    <w:uiPriority w:val="39"/>
    <w:unhideWhenUsed/>
    <w:qFormat/>
    <w:rsid w:val="00620D7D"/>
    <w:pPr>
      <w:spacing w:after="100"/>
      <w:ind w:right="567"/>
    </w:pPr>
  </w:style>
  <w:style w:type="paragraph" w:styleId="TOC2">
    <w:name w:val="toc 2"/>
    <w:basedOn w:val="Normal"/>
    <w:next w:val="Normal"/>
    <w:autoRedefine/>
    <w:uiPriority w:val="39"/>
    <w:unhideWhenUsed/>
    <w:qFormat/>
    <w:rsid w:val="0063483B"/>
    <w:pPr>
      <w:spacing w:after="100"/>
      <w:ind w:left="220"/>
    </w:pPr>
  </w:style>
  <w:style w:type="paragraph" w:styleId="Caption">
    <w:name w:val="caption"/>
    <w:basedOn w:val="Normal"/>
    <w:next w:val="Normal"/>
    <w:qFormat/>
    <w:rsid w:val="00884E3B"/>
    <w:pPr>
      <w:spacing w:line="240" w:lineRule="auto"/>
    </w:pPr>
    <w:rPr>
      <w:rFonts w:ascii="Calibri" w:eastAsia="Calibri" w:hAnsi="Calibri" w:cs="Times New Roman"/>
      <w:b/>
      <w:bCs/>
      <w:sz w:val="20"/>
      <w:szCs w:val="18"/>
      <w:lang w:val="en-US"/>
    </w:rPr>
  </w:style>
  <w:style w:type="character" w:styleId="FollowedHyperlink">
    <w:name w:val="FollowedHyperlink"/>
    <w:basedOn w:val="DefaultParagraphFont"/>
    <w:uiPriority w:val="99"/>
    <w:semiHidden/>
    <w:unhideWhenUsed/>
    <w:rsid w:val="000C0ADD"/>
    <w:rPr>
      <w:color w:val="800080" w:themeColor="followedHyperlink"/>
      <w:u w:val="single"/>
    </w:rPr>
  </w:style>
  <w:style w:type="character" w:styleId="CommentReference">
    <w:name w:val="annotation reference"/>
    <w:uiPriority w:val="99"/>
    <w:semiHidden/>
    <w:rsid w:val="009C5EAB"/>
    <w:rPr>
      <w:sz w:val="16"/>
      <w:szCs w:val="16"/>
    </w:rPr>
  </w:style>
  <w:style w:type="character" w:customStyle="1" w:styleId="apple-converted-space">
    <w:name w:val="apple-converted-space"/>
    <w:basedOn w:val="DefaultParagraphFont"/>
    <w:rsid w:val="006C69DB"/>
  </w:style>
  <w:style w:type="paragraph" w:styleId="TOC3">
    <w:name w:val="toc 3"/>
    <w:basedOn w:val="Normal"/>
    <w:next w:val="Normal"/>
    <w:autoRedefine/>
    <w:uiPriority w:val="39"/>
    <w:unhideWhenUsed/>
    <w:qFormat/>
    <w:rsid w:val="00915BF0"/>
    <w:pPr>
      <w:spacing w:after="100"/>
      <w:ind w:left="440"/>
    </w:pPr>
  </w:style>
  <w:style w:type="character" w:customStyle="1" w:styleId="Heading5Char">
    <w:name w:val="Heading 5 Char"/>
    <w:basedOn w:val="DefaultParagraphFont"/>
    <w:link w:val="Heading5"/>
    <w:uiPriority w:val="9"/>
    <w:rsid w:val="005F46F6"/>
    <w:rPr>
      <w:rFonts w:ascii="Calibri Light" w:eastAsiaTheme="majorEastAsia" w:hAnsi="Calibri Light" w:cstheme="majorBidi"/>
      <w:b/>
      <w:bCs/>
      <w:i/>
      <w:iCs/>
    </w:rPr>
  </w:style>
  <w:style w:type="paragraph" w:customStyle="1" w:styleId="EndNoteBibliography">
    <w:name w:val="EndNote Bibliography"/>
    <w:basedOn w:val="Normal"/>
    <w:link w:val="EndNoteBibliographyChar"/>
    <w:rsid w:val="00B430C6"/>
    <w:pPr>
      <w:spacing w:after="160"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B430C6"/>
    <w:rPr>
      <w:rFonts w:ascii="Calibri" w:hAnsi="Calibri"/>
      <w:noProof/>
      <w:lang w:val="en-US"/>
    </w:rPr>
  </w:style>
  <w:style w:type="paragraph" w:styleId="FootnoteText">
    <w:name w:val="footnote text"/>
    <w:basedOn w:val="Normal"/>
    <w:link w:val="FootnoteTextChar"/>
    <w:uiPriority w:val="99"/>
    <w:unhideWhenUsed/>
    <w:rsid w:val="000C33E2"/>
    <w:pPr>
      <w:spacing w:after="0" w:line="240" w:lineRule="auto"/>
    </w:pPr>
    <w:rPr>
      <w:sz w:val="20"/>
      <w:szCs w:val="20"/>
    </w:rPr>
  </w:style>
  <w:style w:type="character" w:customStyle="1" w:styleId="FootnoteTextChar">
    <w:name w:val="Footnote Text Char"/>
    <w:basedOn w:val="DefaultParagraphFont"/>
    <w:link w:val="FootnoteText"/>
    <w:uiPriority w:val="99"/>
    <w:rsid w:val="000C33E2"/>
    <w:rPr>
      <w:rFonts w:ascii="Calibri Light" w:hAnsi="Calibri Light"/>
      <w:sz w:val="20"/>
      <w:szCs w:val="20"/>
    </w:rPr>
  </w:style>
  <w:style w:type="character" w:styleId="FootnoteReference">
    <w:name w:val="footnote reference"/>
    <w:basedOn w:val="DefaultParagraphFont"/>
    <w:uiPriority w:val="99"/>
    <w:semiHidden/>
    <w:unhideWhenUsed/>
    <w:rsid w:val="000C33E2"/>
    <w:rPr>
      <w:vertAlign w:val="superscript"/>
    </w:rPr>
  </w:style>
  <w:style w:type="paragraph" w:customStyle="1" w:styleId="StyleBodyTextIndent12ptLeft0cmFirstline0cm">
    <w:name w:val="Style Body Text Indent + 12 pt Left:  0 cm First line:  0 cm"/>
    <w:basedOn w:val="BodyText2"/>
    <w:link w:val="StyleBodyTextIndent12ptLeft0cmFirstline0cmChar"/>
    <w:rsid w:val="000E6D39"/>
    <w:pPr>
      <w:spacing w:before="120" w:after="240" w:line="260" w:lineRule="atLeast"/>
      <w:jc w:val="both"/>
    </w:pPr>
    <w:rPr>
      <w:rFonts w:ascii="Garamond" w:eastAsia="Times New Roman" w:hAnsi="Garamond" w:cs="Times New Roman"/>
      <w:lang w:val="en-US"/>
    </w:rPr>
  </w:style>
  <w:style w:type="character" w:customStyle="1" w:styleId="StyleBodyTextIndent12ptLeft0cmFirstline0cmChar">
    <w:name w:val="Style Body Text Indent + 12 pt Left:  0 cm First line:  0 cm Char"/>
    <w:link w:val="StyleBodyTextIndent12ptLeft0cmFirstline0cm"/>
    <w:rsid w:val="000E6D39"/>
    <w:rPr>
      <w:rFonts w:ascii="Garamond" w:eastAsia="Times New Roman" w:hAnsi="Garamond" w:cs="Times New Roman"/>
      <w:lang w:val="en-US"/>
    </w:rPr>
  </w:style>
  <w:style w:type="paragraph" w:styleId="BodyText2">
    <w:name w:val="Body Text 2"/>
    <w:basedOn w:val="Normal"/>
    <w:link w:val="BodyText2Char"/>
    <w:uiPriority w:val="99"/>
    <w:semiHidden/>
    <w:unhideWhenUsed/>
    <w:rsid w:val="000E6D39"/>
    <w:pPr>
      <w:spacing w:after="120" w:line="480" w:lineRule="auto"/>
    </w:pPr>
  </w:style>
  <w:style w:type="character" w:customStyle="1" w:styleId="BodyText2Char">
    <w:name w:val="Body Text 2 Char"/>
    <w:basedOn w:val="DefaultParagraphFont"/>
    <w:link w:val="BodyText2"/>
    <w:uiPriority w:val="99"/>
    <w:semiHidden/>
    <w:rsid w:val="000E6D39"/>
    <w:rPr>
      <w:rFonts w:ascii="Calibri Light" w:hAnsi="Calibri Light"/>
    </w:rPr>
  </w:style>
  <w:style w:type="paragraph" w:customStyle="1" w:styleId="Thesis">
    <w:name w:val="Thesis"/>
    <w:basedOn w:val="Normal"/>
    <w:rsid w:val="001962AA"/>
    <w:pPr>
      <w:suppressAutoHyphens/>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character" w:styleId="Emphasis">
    <w:name w:val="Emphasis"/>
    <w:uiPriority w:val="20"/>
    <w:qFormat/>
    <w:rsid w:val="003376C2"/>
    <w:rPr>
      <w:i/>
      <w:iCs/>
    </w:rPr>
  </w:style>
  <w:style w:type="character" w:styleId="HTMLCite">
    <w:name w:val="HTML Cite"/>
    <w:uiPriority w:val="99"/>
    <w:unhideWhenUsed/>
    <w:rsid w:val="00B448D8"/>
    <w:rPr>
      <w:i/>
      <w:iCs/>
    </w:rPr>
  </w:style>
  <w:style w:type="character" w:customStyle="1" w:styleId="current-selection">
    <w:name w:val="current-selection"/>
    <w:basedOn w:val="DefaultParagraphFont"/>
    <w:rsid w:val="00D85EB4"/>
  </w:style>
  <w:style w:type="character" w:customStyle="1" w:styleId="a">
    <w:name w:val="_"/>
    <w:basedOn w:val="DefaultParagraphFont"/>
    <w:rsid w:val="00D85EB4"/>
  </w:style>
  <w:style w:type="character" w:customStyle="1" w:styleId="ff2">
    <w:name w:val="ff2"/>
    <w:basedOn w:val="DefaultParagraphFont"/>
    <w:rsid w:val="00D85EB4"/>
  </w:style>
  <w:style w:type="paragraph" w:styleId="CommentText">
    <w:name w:val="annotation text"/>
    <w:basedOn w:val="Normal"/>
    <w:link w:val="CommentTextChar"/>
    <w:uiPriority w:val="99"/>
    <w:semiHidden/>
    <w:unhideWhenUsed/>
    <w:rsid w:val="0032429A"/>
    <w:pPr>
      <w:spacing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32429A"/>
    <w:rPr>
      <w:sz w:val="20"/>
      <w:szCs w:val="20"/>
      <w:lang w:val="en-US"/>
    </w:rPr>
  </w:style>
  <w:style w:type="paragraph" w:styleId="CommentSubject">
    <w:name w:val="annotation subject"/>
    <w:basedOn w:val="CommentText"/>
    <w:next w:val="CommentText"/>
    <w:link w:val="CommentSubjectChar"/>
    <w:uiPriority w:val="99"/>
    <w:semiHidden/>
    <w:unhideWhenUsed/>
    <w:rsid w:val="0032429A"/>
    <w:rPr>
      <w:b/>
      <w:bCs/>
    </w:rPr>
  </w:style>
  <w:style w:type="character" w:customStyle="1" w:styleId="CommentSubjectChar">
    <w:name w:val="Comment Subject Char"/>
    <w:basedOn w:val="CommentTextChar"/>
    <w:link w:val="CommentSubject"/>
    <w:uiPriority w:val="99"/>
    <w:semiHidden/>
    <w:rsid w:val="0032429A"/>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DA7689"/>
    <w:rPr>
      <w:rFonts w:ascii="Calibri Light" w:hAnsi="Calibri Light"/>
    </w:rPr>
  </w:style>
  <w:style w:type="paragraph" w:styleId="Heading1">
    <w:name w:val="heading 1"/>
    <w:basedOn w:val="Normal"/>
    <w:next w:val="Normal"/>
    <w:link w:val="Heading1Char"/>
    <w:uiPriority w:val="9"/>
    <w:qFormat/>
    <w:rsid w:val="004C2C31"/>
    <w:pPr>
      <w:keepNext/>
      <w:keepLines/>
      <w:spacing w:before="240" w:after="120"/>
      <w:outlineLvl w:val="0"/>
    </w:pPr>
    <w:rPr>
      <w:rFonts w:eastAsiaTheme="majorEastAsia" w:cstheme="majorBidi"/>
      <w:b/>
      <w:caps/>
      <w:sz w:val="28"/>
      <w:szCs w:val="32"/>
    </w:rPr>
  </w:style>
  <w:style w:type="paragraph" w:styleId="Heading2">
    <w:name w:val="heading 2"/>
    <w:basedOn w:val="Heading1"/>
    <w:next w:val="Normal"/>
    <w:link w:val="Heading2Char"/>
    <w:uiPriority w:val="9"/>
    <w:unhideWhenUsed/>
    <w:qFormat/>
    <w:rsid w:val="005F46F6"/>
    <w:pPr>
      <w:spacing w:before="200" w:after="200"/>
      <w:outlineLvl w:val="1"/>
    </w:pPr>
    <w:rPr>
      <w:bCs/>
      <w:caps w:val="0"/>
      <w:sz w:val="26"/>
      <w:szCs w:val="26"/>
    </w:rPr>
  </w:style>
  <w:style w:type="paragraph" w:styleId="Heading3">
    <w:name w:val="heading 3"/>
    <w:basedOn w:val="Normal"/>
    <w:next w:val="Normal"/>
    <w:link w:val="Heading3Char"/>
    <w:uiPriority w:val="9"/>
    <w:unhideWhenUsed/>
    <w:qFormat/>
    <w:rsid w:val="005F46F6"/>
    <w:pPr>
      <w:keepNext/>
      <w:keepLines/>
      <w:spacing w:before="200" w:after="12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5F46F6"/>
    <w:pPr>
      <w:keepNext/>
      <w:keepLines/>
      <w:spacing w:before="60" w:after="120"/>
      <w:outlineLvl w:val="3"/>
    </w:pPr>
    <w:rPr>
      <w:rFonts w:eastAsiaTheme="majorEastAsia" w:cstheme="majorBidi"/>
      <w:b/>
      <w:bCs/>
      <w:iCs/>
    </w:rPr>
  </w:style>
  <w:style w:type="paragraph" w:styleId="Heading5">
    <w:name w:val="heading 5"/>
    <w:basedOn w:val="Heading4"/>
    <w:next w:val="Normal"/>
    <w:link w:val="Heading5Char"/>
    <w:uiPriority w:val="9"/>
    <w:unhideWhenUsed/>
    <w:qFormat/>
    <w:rsid w:val="005F46F6"/>
    <w:pPr>
      <w:spacing w:before="20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FE"/>
  </w:style>
  <w:style w:type="paragraph" w:styleId="Footer">
    <w:name w:val="footer"/>
    <w:basedOn w:val="Normal"/>
    <w:link w:val="FooterChar"/>
    <w:uiPriority w:val="99"/>
    <w:unhideWhenUsed/>
    <w:rsid w:val="00B1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FE"/>
  </w:style>
  <w:style w:type="table" w:styleId="TableGrid">
    <w:name w:val="Table Grid"/>
    <w:basedOn w:val="TableNormal"/>
    <w:uiPriority w:val="59"/>
    <w:rsid w:val="00B1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C31"/>
    <w:rPr>
      <w:rFonts w:ascii="Calibri Light" w:eastAsiaTheme="majorEastAsia" w:hAnsi="Calibri Light" w:cstheme="majorBidi"/>
      <w:b/>
      <w:caps/>
      <w:sz w:val="28"/>
      <w:szCs w:val="32"/>
    </w:rPr>
  </w:style>
  <w:style w:type="paragraph" w:styleId="Subtitle">
    <w:name w:val="Subtitle"/>
    <w:basedOn w:val="Normal"/>
    <w:next w:val="Normal"/>
    <w:link w:val="SubtitleChar"/>
    <w:uiPriority w:val="11"/>
    <w:rsid w:val="006544E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544E6"/>
    <w:rPr>
      <w:rFonts w:eastAsiaTheme="minorEastAsia"/>
      <w:color w:val="5A5A5A" w:themeColor="text1" w:themeTint="A5"/>
      <w:spacing w:val="15"/>
    </w:rPr>
  </w:style>
  <w:style w:type="character" w:styleId="IntenseEmphasis">
    <w:name w:val="Intense Emphasis"/>
    <w:basedOn w:val="DefaultParagraphFont"/>
    <w:uiPriority w:val="21"/>
    <w:rsid w:val="006544E6"/>
    <w:rPr>
      <w:i/>
      <w:iCs/>
      <w:color w:val="4F81BD" w:themeColor="accent1"/>
    </w:rPr>
  </w:style>
  <w:style w:type="character" w:customStyle="1" w:styleId="Heading2Char">
    <w:name w:val="Heading 2 Char"/>
    <w:basedOn w:val="DefaultParagraphFont"/>
    <w:link w:val="Heading2"/>
    <w:uiPriority w:val="9"/>
    <w:rsid w:val="005F46F6"/>
    <w:rPr>
      <w:rFonts w:ascii="Calibri Light" w:eastAsiaTheme="majorEastAsia" w:hAnsi="Calibri Light" w:cstheme="majorBidi"/>
      <w:b/>
      <w:bCs/>
      <w:sz w:val="26"/>
      <w:szCs w:val="26"/>
    </w:rPr>
  </w:style>
  <w:style w:type="character" w:customStyle="1" w:styleId="Heading3Char">
    <w:name w:val="Heading 3 Char"/>
    <w:basedOn w:val="DefaultParagraphFont"/>
    <w:link w:val="Heading3"/>
    <w:uiPriority w:val="9"/>
    <w:rsid w:val="005F46F6"/>
    <w:rPr>
      <w:rFonts w:ascii="Calibri Light" w:eastAsiaTheme="majorEastAsia" w:hAnsi="Calibri Light" w:cstheme="majorBidi"/>
      <w:b/>
      <w:bCs/>
      <w:sz w:val="24"/>
    </w:rPr>
  </w:style>
  <w:style w:type="character" w:customStyle="1" w:styleId="Heading4Char">
    <w:name w:val="Heading 4 Char"/>
    <w:basedOn w:val="DefaultParagraphFont"/>
    <w:link w:val="Heading4"/>
    <w:uiPriority w:val="9"/>
    <w:rsid w:val="005F46F6"/>
    <w:rPr>
      <w:rFonts w:ascii="Calibri Light" w:eastAsiaTheme="majorEastAsia" w:hAnsi="Calibri Light" w:cstheme="majorBidi"/>
      <w:b/>
      <w:bCs/>
      <w:iCs/>
    </w:rPr>
  </w:style>
  <w:style w:type="paragraph" w:styleId="ListParagraph">
    <w:name w:val="List Paragraph"/>
    <w:basedOn w:val="Normal"/>
    <w:uiPriority w:val="34"/>
    <w:qFormat/>
    <w:rsid w:val="00F92EDD"/>
    <w:pPr>
      <w:spacing w:after="120" w:line="240" w:lineRule="auto"/>
      <w:ind w:left="720"/>
    </w:pPr>
  </w:style>
  <w:style w:type="paragraph" w:customStyle="1" w:styleId="WW-Default">
    <w:name w:val="WW-Default"/>
    <w:rsid w:val="007132FE"/>
    <w:pPr>
      <w:suppressAutoHyphens/>
      <w:autoSpaceDE w:val="0"/>
      <w:spacing w:after="0" w:line="240" w:lineRule="auto"/>
    </w:pPr>
    <w:rPr>
      <w:rFonts w:ascii="Verdana" w:eastAsia="Arial" w:hAnsi="Verdana" w:cs="Verdana"/>
      <w:color w:val="000000"/>
      <w:sz w:val="24"/>
      <w:szCs w:val="24"/>
      <w:lang w:eastAsia="ar-SA"/>
    </w:rPr>
  </w:style>
  <w:style w:type="paragraph" w:styleId="BalloonText">
    <w:name w:val="Balloon Text"/>
    <w:basedOn w:val="Normal"/>
    <w:link w:val="BalloonTextChar"/>
    <w:uiPriority w:val="99"/>
    <w:semiHidden/>
    <w:unhideWhenUsed/>
    <w:rsid w:val="005A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D3"/>
    <w:rPr>
      <w:rFonts w:ascii="Tahoma" w:hAnsi="Tahoma" w:cs="Tahoma"/>
      <w:sz w:val="16"/>
      <w:szCs w:val="16"/>
    </w:rPr>
  </w:style>
  <w:style w:type="paragraph" w:customStyle="1" w:styleId="Bullets">
    <w:name w:val="Bullets"/>
    <w:basedOn w:val="Normal"/>
    <w:qFormat/>
    <w:rsid w:val="003C6CE7"/>
    <w:pPr>
      <w:numPr>
        <w:numId w:val="1"/>
      </w:numPr>
      <w:spacing w:after="120" w:line="240" w:lineRule="auto"/>
    </w:pPr>
  </w:style>
  <w:style w:type="paragraph" w:customStyle="1" w:styleId="Figure">
    <w:name w:val="Figure"/>
    <w:basedOn w:val="Normal"/>
    <w:qFormat/>
    <w:rsid w:val="00BE3B6B"/>
    <w:pPr>
      <w:spacing w:before="60" w:after="120" w:line="240" w:lineRule="auto"/>
      <w:ind w:left="340"/>
    </w:pPr>
    <w:rPr>
      <w:rFonts w:asciiTheme="minorHAnsi" w:hAnsiTheme="minorHAnsi" w:cstheme="minorHAnsi"/>
      <w:b/>
      <w:sz w:val="20"/>
    </w:rPr>
  </w:style>
  <w:style w:type="paragraph" w:styleId="TableofFigures">
    <w:name w:val="table of figures"/>
    <w:next w:val="Normal"/>
    <w:uiPriority w:val="99"/>
    <w:unhideWhenUsed/>
    <w:rsid w:val="00C15735"/>
    <w:pPr>
      <w:spacing w:after="60"/>
      <w:ind w:left="454"/>
    </w:pPr>
    <w:rPr>
      <w:rFonts w:cstheme="minorHAnsi"/>
      <w:sz w:val="20"/>
    </w:rPr>
  </w:style>
  <w:style w:type="character" w:styleId="Hyperlink">
    <w:name w:val="Hyperlink"/>
    <w:basedOn w:val="DefaultParagraphFont"/>
    <w:uiPriority w:val="99"/>
    <w:unhideWhenUsed/>
    <w:rsid w:val="003738FE"/>
    <w:rPr>
      <w:color w:val="0000FF" w:themeColor="hyperlink"/>
      <w:u w:val="single"/>
    </w:rPr>
  </w:style>
  <w:style w:type="paragraph" w:styleId="TOCHeading">
    <w:name w:val="TOC Heading"/>
    <w:basedOn w:val="Heading1"/>
    <w:next w:val="Normal"/>
    <w:uiPriority w:val="39"/>
    <w:semiHidden/>
    <w:unhideWhenUsed/>
    <w:qFormat/>
    <w:rsid w:val="0063483B"/>
    <w:pPr>
      <w:spacing w:before="480"/>
      <w:outlineLvl w:val="9"/>
    </w:pPr>
    <w:rPr>
      <w:rFonts w:asciiTheme="majorHAnsi" w:hAnsiTheme="majorHAnsi"/>
      <w:bCs/>
      <w:caps w:val="0"/>
      <w:color w:val="365F91" w:themeColor="accent1" w:themeShade="BF"/>
      <w:szCs w:val="28"/>
      <w:lang w:val="en-US" w:eastAsia="ja-JP"/>
    </w:rPr>
  </w:style>
  <w:style w:type="paragraph" w:styleId="TOC1">
    <w:name w:val="toc 1"/>
    <w:basedOn w:val="Normal"/>
    <w:next w:val="Normal"/>
    <w:autoRedefine/>
    <w:uiPriority w:val="39"/>
    <w:unhideWhenUsed/>
    <w:qFormat/>
    <w:rsid w:val="00620D7D"/>
    <w:pPr>
      <w:spacing w:after="100"/>
      <w:ind w:right="567"/>
    </w:pPr>
  </w:style>
  <w:style w:type="paragraph" w:styleId="TOC2">
    <w:name w:val="toc 2"/>
    <w:basedOn w:val="Normal"/>
    <w:next w:val="Normal"/>
    <w:autoRedefine/>
    <w:uiPriority w:val="39"/>
    <w:unhideWhenUsed/>
    <w:qFormat/>
    <w:rsid w:val="0063483B"/>
    <w:pPr>
      <w:spacing w:after="100"/>
      <w:ind w:left="220"/>
    </w:pPr>
  </w:style>
  <w:style w:type="paragraph" w:styleId="Caption">
    <w:name w:val="caption"/>
    <w:basedOn w:val="Normal"/>
    <w:next w:val="Normal"/>
    <w:qFormat/>
    <w:rsid w:val="00884E3B"/>
    <w:pPr>
      <w:spacing w:line="240" w:lineRule="auto"/>
    </w:pPr>
    <w:rPr>
      <w:rFonts w:ascii="Calibri" w:eastAsia="Calibri" w:hAnsi="Calibri" w:cs="Times New Roman"/>
      <w:b/>
      <w:bCs/>
      <w:sz w:val="20"/>
      <w:szCs w:val="18"/>
      <w:lang w:val="en-US"/>
    </w:rPr>
  </w:style>
  <w:style w:type="character" w:styleId="FollowedHyperlink">
    <w:name w:val="FollowedHyperlink"/>
    <w:basedOn w:val="DefaultParagraphFont"/>
    <w:uiPriority w:val="99"/>
    <w:semiHidden/>
    <w:unhideWhenUsed/>
    <w:rsid w:val="000C0ADD"/>
    <w:rPr>
      <w:color w:val="800080" w:themeColor="followedHyperlink"/>
      <w:u w:val="single"/>
    </w:rPr>
  </w:style>
  <w:style w:type="character" w:styleId="CommentReference">
    <w:name w:val="annotation reference"/>
    <w:uiPriority w:val="99"/>
    <w:semiHidden/>
    <w:rsid w:val="009C5EAB"/>
    <w:rPr>
      <w:sz w:val="16"/>
      <w:szCs w:val="16"/>
    </w:rPr>
  </w:style>
  <w:style w:type="character" w:customStyle="1" w:styleId="apple-converted-space">
    <w:name w:val="apple-converted-space"/>
    <w:basedOn w:val="DefaultParagraphFont"/>
    <w:rsid w:val="006C69DB"/>
  </w:style>
  <w:style w:type="paragraph" w:styleId="TOC3">
    <w:name w:val="toc 3"/>
    <w:basedOn w:val="Normal"/>
    <w:next w:val="Normal"/>
    <w:autoRedefine/>
    <w:uiPriority w:val="39"/>
    <w:unhideWhenUsed/>
    <w:qFormat/>
    <w:rsid w:val="00915BF0"/>
    <w:pPr>
      <w:spacing w:after="100"/>
      <w:ind w:left="440"/>
    </w:pPr>
  </w:style>
  <w:style w:type="character" w:customStyle="1" w:styleId="Heading5Char">
    <w:name w:val="Heading 5 Char"/>
    <w:basedOn w:val="DefaultParagraphFont"/>
    <w:link w:val="Heading5"/>
    <w:uiPriority w:val="9"/>
    <w:rsid w:val="005F46F6"/>
    <w:rPr>
      <w:rFonts w:ascii="Calibri Light" w:eastAsiaTheme="majorEastAsia" w:hAnsi="Calibri Light" w:cstheme="majorBidi"/>
      <w:b/>
      <w:bCs/>
      <w:i/>
      <w:iCs/>
    </w:rPr>
  </w:style>
  <w:style w:type="paragraph" w:customStyle="1" w:styleId="EndNoteBibliography">
    <w:name w:val="EndNote Bibliography"/>
    <w:basedOn w:val="Normal"/>
    <w:link w:val="EndNoteBibliographyChar"/>
    <w:rsid w:val="00B430C6"/>
    <w:pPr>
      <w:spacing w:after="160"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B430C6"/>
    <w:rPr>
      <w:rFonts w:ascii="Calibri" w:hAnsi="Calibri"/>
      <w:noProof/>
      <w:lang w:val="en-US"/>
    </w:rPr>
  </w:style>
  <w:style w:type="paragraph" w:styleId="FootnoteText">
    <w:name w:val="footnote text"/>
    <w:basedOn w:val="Normal"/>
    <w:link w:val="FootnoteTextChar"/>
    <w:uiPriority w:val="99"/>
    <w:unhideWhenUsed/>
    <w:rsid w:val="000C33E2"/>
    <w:pPr>
      <w:spacing w:after="0" w:line="240" w:lineRule="auto"/>
    </w:pPr>
    <w:rPr>
      <w:sz w:val="20"/>
      <w:szCs w:val="20"/>
    </w:rPr>
  </w:style>
  <w:style w:type="character" w:customStyle="1" w:styleId="FootnoteTextChar">
    <w:name w:val="Footnote Text Char"/>
    <w:basedOn w:val="DefaultParagraphFont"/>
    <w:link w:val="FootnoteText"/>
    <w:uiPriority w:val="99"/>
    <w:rsid w:val="000C33E2"/>
    <w:rPr>
      <w:rFonts w:ascii="Calibri Light" w:hAnsi="Calibri Light"/>
      <w:sz w:val="20"/>
      <w:szCs w:val="20"/>
    </w:rPr>
  </w:style>
  <w:style w:type="character" w:styleId="FootnoteReference">
    <w:name w:val="footnote reference"/>
    <w:basedOn w:val="DefaultParagraphFont"/>
    <w:uiPriority w:val="99"/>
    <w:semiHidden/>
    <w:unhideWhenUsed/>
    <w:rsid w:val="000C33E2"/>
    <w:rPr>
      <w:vertAlign w:val="superscript"/>
    </w:rPr>
  </w:style>
  <w:style w:type="paragraph" w:customStyle="1" w:styleId="StyleBodyTextIndent12ptLeft0cmFirstline0cm">
    <w:name w:val="Style Body Text Indent + 12 pt Left:  0 cm First line:  0 cm"/>
    <w:basedOn w:val="BodyText2"/>
    <w:link w:val="StyleBodyTextIndent12ptLeft0cmFirstline0cmChar"/>
    <w:rsid w:val="000E6D39"/>
    <w:pPr>
      <w:spacing w:before="120" w:after="240" w:line="260" w:lineRule="atLeast"/>
      <w:jc w:val="both"/>
    </w:pPr>
    <w:rPr>
      <w:rFonts w:ascii="Garamond" w:eastAsia="Times New Roman" w:hAnsi="Garamond" w:cs="Times New Roman"/>
      <w:lang w:val="en-US"/>
    </w:rPr>
  </w:style>
  <w:style w:type="character" w:customStyle="1" w:styleId="StyleBodyTextIndent12ptLeft0cmFirstline0cmChar">
    <w:name w:val="Style Body Text Indent + 12 pt Left:  0 cm First line:  0 cm Char"/>
    <w:link w:val="StyleBodyTextIndent12ptLeft0cmFirstline0cm"/>
    <w:rsid w:val="000E6D39"/>
    <w:rPr>
      <w:rFonts w:ascii="Garamond" w:eastAsia="Times New Roman" w:hAnsi="Garamond" w:cs="Times New Roman"/>
      <w:lang w:val="en-US"/>
    </w:rPr>
  </w:style>
  <w:style w:type="paragraph" w:styleId="BodyText2">
    <w:name w:val="Body Text 2"/>
    <w:basedOn w:val="Normal"/>
    <w:link w:val="BodyText2Char"/>
    <w:uiPriority w:val="99"/>
    <w:semiHidden/>
    <w:unhideWhenUsed/>
    <w:rsid w:val="000E6D39"/>
    <w:pPr>
      <w:spacing w:after="120" w:line="480" w:lineRule="auto"/>
    </w:pPr>
  </w:style>
  <w:style w:type="character" w:customStyle="1" w:styleId="BodyText2Char">
    <w:name w:val="Body Text 2 Char"/>
    <w:basedOn w:val="DefaultParagraphFont"/>
    <w:link w:val="BodyText2"/>
    <w:uiPriority w:val="99"/>
    <w:semiHidden/>
    <w:rsid w:val="000E6D39"/>
    <w:rPr>
      <w:rFonts w:ascii="Calibri Light" w:hAnsi="Calibri Light"/>
    </w:rPr>
  </w:style>
  <w:style w:type="paragraph" w:customStyle="1" w:styleId="Thesis">
    <w:name w:val="Thesis"/>
    <w:basedOn w:val="Normal"/>
    <w:rsid w:val="001962AA"/>
    <w:pPr>
      <w:suppressAutoHyphens/>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character" w:styleId="Emphasis">
    <w:name w:val="Emphasis"/>
    <w:uiPriority w:val="20"/>
    <w:qFormat/>
    <w:rsid w:val="003376C2"/>
    <w:rPr>
      <w:i/>
      <w:iCs/>
    </w:rPr>
  </w:style>
  <w:style w:type="character" w:styleId="HTMLCite">
    <w:name w:val="HTML Cite"/>
    <w:uiPriority w:val="99"/>
    <w:unhideWhenUsed/>
    <w:rsid w:val="00B448D8"/>
    <w:rPr>
      <w:i/>
      <w:iCs/>
    </w:rPr>
  </w:style>
  <w:style w:type="character" w:customStyle="1" w:styleId="current-selection">
    <w:name w:val="current-selection"/>
    <w:basedOn w:val="DefaultParagraphFont"/>
    <w:rsid w:val="00D85EB4"/>
  </w:style>
  <w:style w:type="character" w:customStyle="1" w:styleId="a">
    <w:name w:val="_"/>
    <w:basedOn w:val="DefaultParagraphFont"/>
    <w:rsid w:val="00D85EB4"/>
  </w:style>
  <w:style w:type="character" w:customStyle="1" w:styleId="ff2">
    <w:name w:val="ff2"/>
    <w:basedOn w:val="DefaultParagraphFont"/>
    <w:rsid w:val="00D85EB4"/>
  </w:style>
  <w:style w:type="paragraph" w:styleId="CommentText">
    <w:name w:val="annotation text"/>
    <w:basedOn w:val="Normal"/>
    <w:link w:val="CommentTextChar"/>
    <w:uiPriority w:val="99"/>
    <w:semiHidden/>
    <w:unhideWhenUsed/>
    <w:rsid w:val="0032429A"/>
    <w:pPr>
      <w:spacing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32429A"/>
    <w:rPr>
      <w:sz w:val="20"/>
      <w:szCs w:val="20"/>
      <w:lang w:val="en-US"/>
    </w:rPr>
  </w:style>
  <w:style w:type="paragraph" w:styleId="CommentSubject">
    <w:name w:val="annotation subject"/>
    <w:basedOn w:val="CommentText"/>
    <w:next w:val="CommentText"/>
    <w:link w:val="CommentSubjectChar"/>
    <w:uiPriority w:val="99"/>
    <w:semiHidden/>
    <w:unhideWhenUsed/>
    <w:rsid w:val="0032429A"/>
    <w:rPr>
      <w:b/>
      <w:bCs/>
    </w:rPr>
  </w:style>
  <w:style w:type="character" w:customStyle="1" w:styleId="CommentSubjectChar">
    <w:name w:val="Comment Subject Char"/>
    <w:basedOn w:val="CommentTextChar"/>
    <w:link w:val="CommentSubject"/>
    <w:uiPriority w:val="99"/>
    <w:semiHidden/>
    <w:rsid w:val="0032429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stata.com/manuals14/te.pdf" TargetMode="External"/><Relationship Id="rId3" Type="http://schemas.openxmlformats.org/officeDocument/2006/relationships/styles" Target="styles.xml"/><Relationship Id="rId21" Type="http://schemas.openxmlformats.org/officeDocument/2006/relationships/hyperlink" Target="http://www.deewr.gov.au/HigherEducation/Review/Documents/PDF/Higher%20Education%20Review_one%20document_02.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tats.oecd.org/glossary/detail.asp?ID=6864"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news.com.au/finance/work/careers/nation-of-dropouts-university-completion-rates-drop-to-a-new-low/news-story/1265f4d9872db263694aaa74f815c4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ne.edu.au/governance/academicboard/Occasional%20Addresses/gavin-moodie.pdf"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ey.com/Publication/vwLUAssets/University_of_the_future/$FILE/University_of_the_future_2012.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cft.vanderbilt.edu/guides-sub-pages/flipping-the-classroo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IDG~1\AppData\Local\Temp\cdu_gener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069F-8079-481E-B86E-7E2F25B2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cdu_general_template</Template>
  <TotalTime>0</TotalTime>
  <Pages>25</Pages>
  <Words>7998</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Nicola Rolls</cp:lastModifiedBy>
  <cp:revision>2</cp:revision>
  <cp:lastPrinted>2018-06-06T01:37:00Z</cp:lastPrinted>
  <dcterms:created xsi:type="dcterms:W3CDTF">2018-06-22T07:25:00Z</dcterms:created>
  <dcterms:modified xsi:type="dcterms:W3CDTF">2018-06-22T07:25:00Z</dcterms:modified>
</cp:coreProperties>
</file>